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3C1" w:rsidRPr="00A948AC" w:rsidRDefault="008953C1" w:rsidP="00AD0142">
      <w:pPr>
        <w:pStyle w:val="ConsPlusNormal"/>
        <w:spacing w:line="300" w:lineRule="atLeast"/>
        <w:jc w:val="right"/>
        <w:outlineLvl w:val="0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Принят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Решением Совета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Евразийской экономической комиссии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 xml:space="preserve">от 14 сентября </w:t>
      </w:r>
      <w:smartTag w:uri="urn:schemas-microsoft-com:office:smarttags" w:element="metricconverter">
        <w:smartTagPr>
          <w:attr w:name="ProductID" w:val="2018 г"/>
        </w:smartTagPr>
        <w:r w:rsidRPr="00A948AC">
          <w:rPr>
            <w:rFonts w:ascii="Arial" w:hAnsi="Arial" w:cs="Arial"/>
            <w:sz w:val="22"/>
            <w:szCs w:val="22"/>
          </w:rPr>
          <w:t>2018 г</w:t>
        </w:r>
      </w:smartTag>
      <w:r w:rsidRPr="00A948AC">
        <w:rPr>
          <w:rFonts w:ascii="Arial" w:hAnsi="Arial" w:cs="Arial"/>
          <w:sz w:val="22"/>
          <w:szCs w:val="22"/>
        </w:rPr>
        <w:t>. N 74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bookmarkStart w:id="0" w:name="Par38"/>
      <w:bookmarkEnd w:id="0"/>
      <w:r w:rsidRPr="00A948AC">
        <w:rPr>
          <w:sz w:val="22"/>
          <w:szCs w:val="22"/>
        </w:rPr>
        <w:t>ТЕХНИЧЕСКИЙ РЕГЛАМЕНТ</w:t>
      </w:r>
    </w:p>
    <w:p w:rsidR="007F29E6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ЕВРАЗИЙСКОГО ЭКОНОМИЧЕСКОГО СОЮЗА</w:t>
      </w:r>
    </w:p>
    <w:p w:rsidR="007F29E6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"О БЕЗОПАСНОСТИ ГАЗА</w:t>
      </w:r>
      <w:r w:rsidR="007F29E6" w:rsidRPr="00A948AC">
        <w:rPr>
          <w:sz w:val="22"/>
          <w:szCs w:val="22"/>
        </w:rPr>
        <w:t xml:space="preserve"> </w:t>
      </w:r>
      <w:r w:rsidRPr="00A948AC">
        <w:rPr>
          <w:sz w:val="22"/>
          <w:szCs w:val="22"/>
        </w:rPr>
        <w:t>ГОРЮЧЕГО ПРИРОДНОГО, ПОДГОТОВЛЕННОГО</w:t>
      </w: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К ТРАНСПОРТИРОВАНИЮ</w:t>
      </w:r>
      <w:r w:rsidR="007F29E6" w:rsidRPr="00A948AC">
        <w:rPr>
          <w:sz w:val="22"/>
          <w:szCs w:val="22"/>
        </w:rPr>
        <w:t xml:space="preserve"> </w:t>
      </w:r>
      <w:r w:rsidRPr="00A948AC">
        <w:rPr>
          <w:sz w:val="22"/>
          <w:szCs w:val="22"/>
        </w:rPr>
        <w:t>И (ИЛИ) ИСПОЛЬЗОВАНИЮ"</w:t>
      </w: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(ТР ЕАЭС 046/2018)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A948AC">
        <w:rPr>
          <w:sz w:val="22"/>
          <w:szCs w:val="22"/>
        </w:rPr>
        <w:t>I. Область применения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1. Настоящий технический регламент распространяется на выпускаемые в обращение и находящиеся в обращении на таможенной территории Евразийского экономического союза (далее - Союз) газ горючий природный, подготовленный к транспортированию по магистральным газопроводам, газ горючий природный промышленного и коммунально-бытового назначения, газ горючий природный компримированный и газ горючий природный сжиженный, подготовленные к использованию (далее - продукция).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2. Настоящий технический регламент не распространяется на продукцию, поставляемую по государственному оборонному заказу и находящуюся на хранении в организациях, обеспечивающих сохранность государственного материального резерва, а также на продукцию, экспортируемую за пределы таможенной территории Союза.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3. Настоящий технический регламент устанавливает требования к продукции в целях защиты жизни и здоровья человека, имущества, окружающей среды, жизни и (или) здоровья животных и растений, предупреждения действий, вводящих в заблуждение потребителей (пользователей), а также обеспечения энергетической эффективности и ресурсосбережения.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A948AC">
        <w:rPr>
          <w:sz w:val="22"/>
          <w:szCs w:val="22"/>
        </w:rPr>
        <w:t>II. Основные понятия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4. Для целей настоящего технического регламента используются понятия, которые означают следующее: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"выпуск продукции в обращение" - поставка или ввоз продукции (в том числе поставка с хранилищ газа) с целью ее распространения на таможенной территории Союза в ходе коммерческой деятельности на безвозмездной или возмездной основе;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"газ горючий природный" (ГГП) - газообразная смесь, добытая из всех видов месторождений (залежей) углеводородного сырья, состоящая преимущественно из метана и содержащая более тяжелые углеводороды, азот, диоксид углерода, водяные пары, серосодержащие соединения, инертные газы, а также следовые количества других компонентов;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"газ горючий природный компримированный" - газ горючий природный, прошедший специальную подготовку для использования в качестве топлива, в том числе для двигателей внутреннего сгорания;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"газ горючий природный, подготовленный к транспортированию" - газ горючий природный, прошедший технологические операции для обеспечения его безопасного транспортирования по магистральным газопроводам;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"газ горючий природный промышленного и коммунально-бытового назначения" - газ горючий природный, подготовленный для использования в качестве сырья и (или) топлива промышленного и коммунально-бытового назначения;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lastRenderedPageBreak/>
        <w:t>"газ горючий природный сжиженный" (СПГ) - газ горючий природный, приведенный в жидкое состояние путем охлаждения, после специальной подготовки с целью хранения и (или) транспортирования используемый в качестве топлива;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"изготовитель" - юридическое лицо или физическое лицо, зарегистрированное в качестве индивидуального предпринимателя, в том числе иностранный изготовитель, осуществляющие от своего имени производство или производство и реализацию продукции и ответственные за ее соответствие требованиям настоящего технического регламента;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"обращение продукции на рынке" - этапы движения продукции от изготовителя к потребителю, которые проходит продукция начиная с выпуска ее в обращение;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"партия" - количество продукции одного целевого назначения и марки (при наличии), сопровождаемое одним паспортом качества продукции;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"паспорт качества продукции" - документ, содержащий сведения об организации, его оформляющей и осуществляющей либо производство, либо транспортирование, либо хранение, либо продажу продукции, и фактические значения показателей качества продукции, полученные в результате лабораторных испытаний;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"потребитель" - юридическое лицо или физическое лицо, имеющие намерение приобрести или приобретающие продукцию исключительно для собственных нужд;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"продавец" - юридическое лицо или физическое лицо, зарегистрированное в качестве индивидуального предпринимателя, являющиеся резидентами государства - члена Союза, осуществляющие реализацию продукции потребителю и ответственные за размещение на рынке Союза продукции, соответствующей требованиям настоящего технического регламента;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"уполномоченное изготовителем лицо" - зарегистрированные в установленном законодательством государства - члена Союза порядке на его территории юридическое лицо или физическое лицо в качестве индивидуального предпринимателя, которые на основании договора с изготовителем осуществляют действия от имени этого изготовителя при оценке соответствия и выпуске продукции в обращение, а также несут ответственность за несоответствие продукции требованиям настоящего технического регламента.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A948AC">
        <w:rPr>
          <w:sz w:val="22"/>
          <w:szCs w:val="22"/>
        </w:rPr>
        <w:t>III. Правила обращения продукции на рынке Союза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 xml:space="preserve">5. Продукция выпускается в обращение при ее соответствии требованиям настоящего технического регламента, а также других технических регламентов Союза, действие которых на нее распространяется, при условии, что она прошла оценку соответствия согласно </w:t>
      </w:r>
      <w:hyperlink w:anchor="Par98" w:tooltip="VI. Оценка соответствия продукции требованиям" w:history="1">
        <w:r w:rsidRPr="00A948AC">
          <w:rPr>
            <w:rFonts w:ascii="Arial" w:hAnsi="Arial" w:cs="Arial"/>
            <w:sz w:val="22"/>
            <w:szCs w:val="22"/>
          </w:rPr>
          <w:t>разделу VI</w:t>
        </w:r>
      </w:hyperlink>
      <w:r w:rsidRPr="00A948AC">
        <w:rPr>
          <w:rFonts w:ascii="Arial" w:hAnsi="Arial" w:cs="Arial"/>
          <w:sz w:val="22"/>
          <w:szCs w:val="22"/>
        </w:rPr>
        <w:t xml:space="preserve"> настоящего технического регламента, а также согласно другим техническим регламентам Союза, действие которых на нее распространяется.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6. По требованию потребителя изготовитель (уполномоченное изготовителем лицо) или продавец обязаны представить документы, подтверждающие соответствие продукции требованиям настоящего технического регламента (копии декларации о соответствии продукции требованиям настоящего технического регламента и паспорта качества продукции).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7. Не допускается к выпуску в обращение продукция, не маркированная единым знаком обращения продукции на рынке Союза.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A948AC">
        <w:rPr>
          <w:sz w:val="22"/>
          <w:szCs w:val="22"/>
        </w:rPr>
        <w:t>IV. Требования безопасности к продукции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 xml:space="preserve">8. Газ горючий природный, подготовленный к транспортированию, должен соответствовать требованиям согласно </w:t>
      </w:r>
      <w:hyperlink w:anchor="Par153" w:tooltip="ТРЕБОВАНИЯ" w:history="1">
        <w:r w:rsidRPr="00A948AC">
          <w:rPr>
            <w:rFonts w:ascii="Arial" w:hAnsi="Arial" w:cs="Arial"/>
            <w:sz w:val="22"/>
            <w:szCs w:val="22"/>
          </w:rPr>
          <w:t>приложению N 1</w:t>
        </w:r>
      </w:hyperlink>
      <w:r w:rsidRPr="00A948AC">
        <w:rPr>
          <w:rFonts w:ascii="Arial" w:hAnsi="Arial" w:cs="Arial"/>
          <w:sz w:val="22"/>
          <w:szCs w:val="22"/>
        </w:rPr>
        <w:t>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 xml:space="preserve">9. Газ горючий природный промышленного и коммунально-бытового назначения должен соответствовать требованиям согласно </w:t>
      </w:r>
      <w:hyperlink w:anchor="Par280" w:tooltip="ТРЕБОВАНИЯ" w:history="1">
        <w:r w:rsidRPr="00A948AC">
          <w:rPr>
            <w:rFonts w:ascii="Arial" w:hAnsi="Arial" w:cs="Arial"/>
            <w:sz w:val="22"/>
            <w:szCs w:val="22"/>
          </w:rPr>
          <w:t>приложению N 2</w:t>
        </w:r>
      </w:hyperlink>
      <w:r w:rsidRPr="00A948AC">
        <w:rPr>
          <w:rFonts w:ascii="Arial" w:hAnsi="Arial" w:cs="Arial"/>
          <w:sz w:val="22"/>
          <w:szCs w:val="22"/>
        </w:rPr>
        <w:t>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lastRenderedPageBreak/>
        <w:t xml:space="preserve">10. Газ горючий природный компримированный должен соответствовать требованиям согласно </w:t>
      </w:r>
      <w:hyperlink w:anchor="Par390" w:tooltip="ТРЕБОВАНИЯ К ГАЗУ ГОРЮЧЕМУ ПРИРОДНОМУ КОМПРИМИРОВАННОМУ" w:history="1">
        <w:r w:rsidRPr="00A948AC">
          <w:rPr>
            <w:rFonts w:ascii="Arial" w:hAnsi="Arial" w:cs="Arial"/>
            <w:sz w:val="22"/>
            <w:szCs w:val="22"/>
          </w:rPr>
          <w:t>приложению N 3</w:t>
        </w:r>
      </w:hyperlink>
      <w:r w:rsidRPr="00A948AC">
        <w:rPr>
          <w:rFonts w:ascii="Arial" w:hAnsi="Arial" w:cs="Arial"/>
          <w:sz w:val="22"/>
          <w:szCs w:val="22"/>
        </w:rPr>
        <w:t>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 xml:space="preserve">11. Газ горючий природный сжиженный должен соответствовать требованиям согласно </w:t>
      </w:r>
      <w:hyperlink w:anchor="Par463" w:tooltip="ТРЕБОВАНИЯ К ГАЗУ ГОРЮЧЕМУ ПРИРОДНОМУ СЖИЖЕННОМУ" w:history="1">
        <w:r w:rsidRPr="00A948AC">
          <w:rPr>
            <w:rFonts w:ascii="Arial" w:hAnsi="Arial" w:cs="Arial"/>
            <w:sz w:val="22"/>
            <w:szCs w:val="22"/>
          </w:rPr>
          <w:t>приложению N 4</w:t>
        </w:r>
      </w:hyperlink>
      <w:r w:rsidRPr="00A948AC">
        <w:rPr>
          <w:rFonts w:ascii="Arial" w:hAnsi="Arial" w:cs="Arial"/>
          <w:sz w:val="22"/>
          <w:szCs w:val="22"/>
        </w:rPr>
        <w:t>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12. Каждая партия продукции, выпускаемая в обращение и (или) находящаяся в обращении, должна сопровождаться паспортом качества продукции, содержащим следующую информацию: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а) наименование, марка (при наличии) и условное обозначение продукции (при наличии);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б) наименование организации, оформляющей паспорт и осуществляющей либо производство, либо транспортирование, либо хранение, либо продажу продукции, место нахождения (адрес юридического лица) - для юридического лица или фамилия, имя и отчество (при наличии), место жительства - для физического лица, зарегистрированного в качестве индивидуального предпринимателя;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в) товарный знак изготовителя (при наличии) (проставляется в паспорте);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г) наименование уполномоченного изготовителем лица, его место нахождения (адрес юридического лица) - для юридического лица или фамилия, имя и отчество (при наличии), место жительства - для физического лица, зарегистрированного в качестве индивидуального предпринимателя;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д) обозначение и наименование документа, в соответствии с которым произведена продукция;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е) нормативные значения и фактические результаты испытаний, подтверждающие соответствие продукции требованиям настоящего технического регламента;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ж) номер партии (при наличии), период (дата) поставки;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з) единый знак обращения продукции на рынке Союза (проставляется в паспорте);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и) номер и дата выдачи паспорта;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к) подпись и расшифровка подписи лица, оформившего паспорт.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13. Сопроводительная документация на партию продукции, выпускаемой в обращение, составляется на русском языке и при наличии соответствующих требований в законодательстве государств - членов Союза (далее - государства-члены) на государственном языке (государственных языках) государства-члена, на территории которого данная партия будет находиться в обращении.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A948AC">
        <w:rPr>
          <w:sz w:val="22"/>
          <w:szCs w:val="22"/>
        </w:rPr>
        <w:t>V. Обеспечение соответствия продукции требованиям</w:t>
      </w: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технического регламента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14. Безопасность продукции обеспечивается соблюдением требований, установленных настоящим техническим регламентом.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15. Методы исследований (испытаний) продукции, необходимые для исполнения требований настоящего технического регламента и осуществления оценки соответствия продукции, устанавливаются в стандартах, включенных в перечень международных и региональных (межгосударственных) стандартов, а в случае их отсутствия - национальных (государственных)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настоящего технического регламента и осуществления оценки соответствия объектов технического регулирования.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bookmarkStart w:id="1" w:name="Par98"/>
      <w:bookmarkEnd w:id="1"/>
      <w:r w:rsidRPr="00A948AC">
        <w:rPr>
          <w:sz w:val="22"/>
          <w:szCs w:val="22"/>
        </w:rPr>
        <w:lastRenderedPageBreak/>
        <w:t>VI. Оценка соответствия продукции требованиям</w:t>
      </w: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технического регламента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16. Перед выпуском продукции в обращение проводится оценка соответствия продукции требованиям настоящего технического регламента в форме подтверждения соответствия (декларирования соответствия). Декларирование соответствия проводится заявителем. Заявителем могут быть зарегистрированные в соответствии с законодательством государства-члена на его территории юридическое лицо или физическое лицо в качестве индивидуального предпринимателя, являющиеся изготовителем или продавцом либо уполномоченным изготовителем лицом.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17. Декларирование соответствия продукции требованиям настоящего технического регламента осуществляется по типовым схемам оценки соответствия, утверждаемым Евразийской экономической комиссией: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а) для газа горючего природного, подготовленного к транспортированию, - по схеме 1д, или 3д, или 6д;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б) для газа горючего природного промышленного и коммунально-бытового назначения и газа горючего природного компримированного, выпускаемых серийно, - по схеме 1д, или 3д, или 6д;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в) для газа горючего природного промышленного и коммунально-бытового назначения и газа горючего природного компримированного, выпускаемых или ввозимых партиями, - по схеме 4д;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г) для газа горючего природного сжиженного - по схеме 3д или 6д.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bookmarkStart w:id="2" w:name="Par107"/>
      <w:bookmarkEnd w:id="2"/>
      <w:r w:rsidRPr="00A948AC">
        <w:rPr>
          <w:rFonts w:ascii="Arial" w:hAnsi="Arial" w:cs="Arial"/>
          <w:sz w:val="22"/>
          <w:szCs w:val="22"/>
        </w:rPr>
        <w:t>18. При проведении подтверждения соответствия продукции требованиям настоящего технического регламента заявитель формирует для регистрации декларации о соответствии комплект документов, который включает в себя: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а) декларацию о соответствии продукции требованиям настоящего технического регламента, оформленную по единой форме, утверждаемой Евразийской экономической комиссией;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б) протоколы испытаний, подтверждающих соответствие продукции требованиям настоящего технического регламента;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в) копию сертификата на систему менеджмента качества (при декларировании по схеме 6д);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г) сведения о регистрационном или учетном (индивидуальном, идентификационном) номере заявителя, присваиваемом при государственной регистрации юридического лица или физического лица в качестве индивидуального предпринимателя в соответствии с законодательством государства-члена;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д) договор на поставку партии продукции (при декларировании по схеме 4д).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19. Декларация о соответствии подлежит регистрации в порядке, утверждаемом Евразийской экономической комиссией.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Срок действия декларации о соответствии составляет: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при декларировании по схемам 1д и 3д - не более 3 лет;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при декларировании по схеме 4д - с учетом срока хранения продукции, но не более 3 лет;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при декларировании по схеме 6д - не более 5 лет.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 xml:space="preserve">20. Комплект документов, предусмотренных </w:t>
      </w:r>
      <w:hyperlink w:anchor="Par107" w:tooltip="18. При проведении подтверждения соответствия продукции требованиям настоящего технического регламента заявитель формирует для регистрации декларации о соответствии комплект документов, который включает в себя:" w:history="1">
        <w:r w:rsidRPr="00A948AC">
          <w:rPr>
            <w:rFonts w:ascii="Arial" w:hAnsi="Arial" w:cs="Arial"/>
            <w:sz w:val="22"/>
            <w:szCs w:val="22"/>
          </w:rPr>
          <w:t>пунктом 18</w:t>
        </w:r>
      </w:hyperlink>
      <w:r w:rsidRPr="00A948AC">
        <w:rPr>
          <w:rFonts w:ascii="Arial" w:hAnsi="Arial" w:cs="Arial"/>
          <w:sz w:val="22"/>
          <w:szCs w:val="22"/>
        </w:rPr>
        <w:t xml:space="preserve"> настоящего раздела, должен храниться: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у изготовителя или уполномоченного изготовителем лица - в течение не менее 10 лет со дня окончания срока действия декларации о соответствии;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у продавца - в течение не менее 10 лет со дня реализации продукции.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 xml:space="preserve">Комплект документов должен представляться органам государственного контроля </w:t>
      </w:r>
      <w:r w:rsidRPr="00A948AC">
        <w:rPr>
          <w:rFonts w:ascii="Arial" w:hAnsi="Arial" w:cs="Arial"/>
          <w:sz w:val="22"/>
          <w:szCs w:val="22"/>
        </w:rPr>
        <w:lastRenderedPageBreak/>
        <w:t>(надзора) государств-членов по их требованию.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21. Продукция, находящаяся в обращении, подлежит испытаниям.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22. Испытания продукции, находящейся в обращении, проводятся на соответствие требованиям настоящего технического регламента и осуществляются продавцом.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23. Порядок проведения испытаний включает в себя: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а) отбор образцов (проб) продукции;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б) проведение испытаний образцов (проб) продукции в собственной испытательной лаборатории продавца или аккредитованной испытательной лаборатории (центре), включенной в единый реестр органов по оценке соответствия Союза;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в) внесение результатов испытаний и заключения о том, что продукция продолжает соответствовать требованиям настоящего технического регламента, в паспорт качества продукции.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A948AC">
        <w:rPr>
          <w:sz w:val="22"/>
          <w:szCs w:val="22"/>
        </w:rPr>
        <w:t>VII. Маркировка единым знаком обращения продукции</w:t>
      </w: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на рынке Союза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 xml:space="preserve">24. Продукция, соответствующая требованиям настоящего технического регламента и прошедшая процедуры подтверждения соответствия согласно </w:t>
      </w:r>
      <w:hyperlink w:anchor="Par98" w:tooltip="VI. Оценка соответствия продукции требованиям" w:history="1">
        <w:r w:rsidRPr="00A948AC">
          <w:rPr>
            <w:rFonts w:ascii="Arial" w:hAnsi="Arial" w:cs="Arial"/>
            <w:sz w:val="22"/>
            <w:szCs w:val="22"/>
          </w:rPr>
          <w:t>разделу VI</w:t>
        </w:r>
      </w:hyperlink>
      <w:r w:rsidRPr="00A948AC">
        <w:rPr>
          <w:rFonts w:ascii="Arial" w:hAnsi="Arial" w:cs="Arial"/>
          <w:sz w:val="22"/>
          <w:szCs w:val="22"/>
        </w:rPr>
        <w:t xml:space="preserve"> настоящего технического регламента, должна иметь маркировку единым знаком обращения продукции на рынке Союза.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25. Маркировка единым знаком обращения продукции на рынке Союза осуществляется заявителем перед выпуском продукции в обращение.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26. Графическое изображение единого знака обращения продукции на рынке Союза наносится на сопроводительную документацию (паспорт качества продукции).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outlineLvl w:val="1"/>
        <w:rPr>
          <w:sz w:val="22"/>
          <w:szCs w:val="22"/>
        </w:rPr>
      </w:pPr>
      <w:r w:rsidRPr="00A948AC">
        <w:rPr>
          <w:sz w:val="22"/>
          <w:szCs w:val="22"/>
        </w:rPr>
        <w:t>VIII. Защитительная оговорка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27. Государства-члены обязаны принять все меры для ограничения или запрета выпуска в обращение продукции, не соответствующей требованиям настоящего технического регламента.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Уполномоченный орган государства-члена, принявший решение об ограничении или запрете выпуска продукции в обращение, обязан не позднее 1 месяца уведомить о принятом решении уполномоченные органы других государств-членов с обоснованием необходимости принятия таких мер.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lastRenderedPageBreak/>
        <w:t>Приложение N 1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к техническому регламенту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Евразийского экономического союза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"О безопасности газа горючего природного,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подготовленного к транспортированию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и (или) использованию"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(ТР ЕАЭС 046/2018)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bookmarkStart w:id="3" w:name="Par153"/>
      <w:bookmarkEnd w:id="3"/>
      <w:r w:rsidRPr="00A948AC">
        <w:rPr>
          <w:sz w:val="22"/>
          <w:szCs w:val="22"/>
        </w:rPr>
        <w:t>ТРЕБОВАНИЯ</w:t>
      </w: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К ГАЗУ ГОРЮЧЕМУ ПРИРОДНОМУ, ПОДГОТОВЛЕННОМУ</w:t>
      </w: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К ТРАНСПОРТИРОВАНИЮ ПО МАГИСТРАЛЬНЫМ ГАЗОПРОВОДАМ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8"/>
        <w:gridCol w:w="3856"/>
        <w:gridCol w:w="1696"/>
        <w:gridCol w:w="1761"/>
        <w:gridCol w:w="1858"/>
      </w:tblGrid>
      <w:tr w:rsidR="008953C1" w:rsidRPr="00A948AC" w:rsidTr="00AD0142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N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Единица измерения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Норма</w:t>
            </w:r>
          </w:p>
        </w:tc>
      </w:tr>
      <w:tr w:rsidR="008953C1" w:rsidRPr="00A948AC" w:rsidTr="00AD014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минимальная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максимальная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компонентов (компонентный состав)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не нормируют, определение обязательно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кислорода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0,020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диоксида углерода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2,5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4" w:name="Par177"/>
            <w:bookmarkEnd w:id="4"/>
            <w:r w:rsidRPr="00A948A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сероводорода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0,007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меркаптановой серы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0,016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общей серы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0,030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5" w:name="Par192"/>
            <w:bookmarkEnd w:id="5"/>
            <w:r w:rsidRPr="00A948A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Объемная теплота сгорания низшая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МДж/м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(ккал/м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A948A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31,80</w:t>
            </w:r>
          </w:p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(7600)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6" w:name="Par199"/>
            <w:bookmarkEnd w:id="6"/>
            <w:r w:rsidRPr="00A948AC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Плотность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кг/м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не нормируют, определение обязательно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7" w:name="Par203"/>
            <w:bookmarkEnd w:id="7"/>
            <w:r w:rsidRPr="00A948A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Температура точки росы по воде:</w:t>
            </w:r>
          </w:p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для умеренного климата: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°C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53C1" w:rsidRPr="00A948AC" w:rsidTr="00AD0142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зимний период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-10,0 (-5,0)</w:t>
            </w:r>
          </w:p>
        </w:tc>
      </w:tr>
      <w:tr w:rsidR="008953C1" w:rsidRPr="00A948AC" w:rsidTr="00AD0142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летний период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-10,0 (-3,0)</w:t>
            </w:r>
          </w:p>
        </w:tc>
      </w:tr>
      <w:tr w:rsidR="008953C1" w:rsidRPr="00A948AC" w:rsidTr="00AD0142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для холодного климата: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53C1" w:rsidRPr="00A948AC" w:rsidTr="00AD0142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зимний период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-20,0</w:t>
            </w:r>
          </w:p>
        </w:tc>
      </w:tr>
      <w:tr w:rsidR="008953C1" w:rsidRPr="00A948AC" w:rsidTr="00AD0142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летний период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-14,0 (-10,0)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8" w:name="Par224"/>
            <w:bookmarkEnd w:id="8"/>
            <w:r w:rsidRPr="00A948AC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Температура точки росы по углеводородам:</w:t>
            </w:r>
          </w:p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для умеренного климата: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°C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53C1" w:rsidRPr="00A948AC" w:rsidTr="00AD0142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зимний период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-2,0 (0,0)</w:t>
            </w:r>
          </w:p>
        </w:tc>
      </w:tr>
      <w:tr w:rsidR="008953C1" w:rsidRPr="00A948AC" w:rsidTr="00AD0142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летний период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-2,0 (0,0)</w:t>
            </w:r>
          </w:p>
        </w:tc>
      </w:tr>
      <w:tr w:rsidR="008953C1" w:rsidRPr="00A948AC" w:rsidTr="00AD0142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для холодного климата: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53C1" w:rsidRPr="00A948AC" w:rsidTr="00AD0142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зимний период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-10,0</w:t>
            </w:r>
          </w:p>
        </w:tc>
      </w:tr>
      <w:tr w:rsidR="008953C1" w:rsidRPr="00A948AC" w:rsidTr="00AD0142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летний период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ind w:left="2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-5,0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9" w:name="Par245"/>
            <w:bookmarkEnd w:id="9"/>
            <w:r w:rsidRPr="00A948AC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механических примесей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0,001</w:t>
            </w:r>
          </w:p>
        </w:tc>
      </w:tr>
    </w:tbl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>Примечания: 1. Летний период - с 1 мая по 30 сентября. Зимний период - с 1 октября по 30 апреля. Периоды могут быть уточнены по согласованию между государствами - членами Евразийского экономического союза.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2. Нормы </w:t>
      </w:r>
      <w:hyperlink w:anchor="Par177" w:tooltip="4" w:history="1">
        <w:r w:rsidRPr="00A948AC">
          <w:rPr>
            <w:rFonts w:ascii="Arial" w:hAnsi="Arial" w:cs="Arial"/>
            <w:sz w:val="20"/>
            <w:szCs w:val="20"/>
          </w:rPr>
          <w:t>показателей 4</w:t>
        </w:r>
      </w:hyperlink>
      <w:r w:rsidRPr="00A948AC">
        <w:rPr>
          <w:rFonts w:ascii="Arial" w:hAnsi="Arial" w:cs="Arial"/>
          <w:sz w:val="20"/>
          <w:szCs w:val="20"/>
        </w:rPr>
        <w:t xml:space="preserve"> - </w:t>
      </w:r>
      <w:hyperlink w:anchor="Par199" w:tooltip="8" w:history="1">
        <w:r w:rsidRPr="00A948AC">
          <w:rPr>
            <w:rFonts w:ascii="Arial" w:hAnsi="Arial" w:cs="Arial"/>
            <w:sz w:val="20"/>
            <w:szCs w:val="20"/>
          </w:rPr>
          <w:t>8</w:t>
        </w:r>
      </w:hyperlink>
      <w:r w:rsidRPr="00A948AC">
        <w:rPr>
          <w:rFonts w:ascii="Arial" w:hAnsi="Arial" w:cs="Arial"/>
          <w:sz w:val="20"/>
          <w:szCs w:val="20"/>
        </w:rPr>
        <w:t xml:space="preserve"> и </w:t>
      </w:r>
      <w:hyperlink w:anchor="Par245" w:tooltip="11" w:history="1">
        <w:r w:rsidRPr="00A948AC">
          <w:rPr>
            <w:rFonts w:ascii="Arial" w:hAnsi="Arial" w:cs="Arial"/>
            <w:sz w:val="20"/>
            <w:szCs w:val="20"/>
          </w:rPr>
          <w:t>11</w:t>
        </w:r>
      </w:hyperlink>
      <w:r w:rsidRPr="00A948AC">
        <w:rPr>
          <w:rFonts w:ascii="Arial" w:hAnsi="Arial" w:cs="Arial"/>
          <w:sz w:val="20"/>
          <w:szCs w:val="20"/>
        </w:rPr>
        <w:t xml:space="preserve"> установлены при стандартном давлении 101,325 кПа и стандартной температуре </w:t>
      </w:r>
      <w:smartTag w:uri="urn:schemas-microsoft-com:office:smarttags" w:element="metricconverter">
        <w:smartTagPr>
          <w:attr w:name="ProductID" w:val="20,0 ﾰC"/>
        </w:smartTagPr>
        <w:r w:rsidRPr="00A948AC">
          <w:rPr>
            <w:rFonts w:ascii="Arial" w:hAnsi="Arial" w:cs="Arial"/>
            <w:sz w:val="20"/>
            <w:szCs w:val="20"/>
          </w:rPr>
          <w:t>20,0 °C</w:t>
        </w:r>
      </w:smartTag>
      <w:r w:rsidRPr="00A948AC">
        <w:rPr>
          <w:rFonts w:ascii="Arial" w:hAnsi="Arial" w:cs="Arial"/>
          <w:sz w:val="20"/>
          <w:szCs w:val="20"/>
        </w:rPr>
        <w:t xml:space="preserve">. Стандартная температура сгорания при расчете объемной теплоты сгорания составляет </w:t>
      </w:r>
      <w:smartTag w:uri="urn:schemas-microsoft-com:office:smarttags" w:element="metricconverter">
        <w:smartTagPr>
          <w:attr w:name="ProductID" w:val="25 ﾰC"/>
        </w:smartTagPr>
        <w:r w:rsidRPr="00A948AC">
          <w:rPr>
            <w:rFonts w:ascii="Arial" w:hAnsi="Arial" w:cs="Arial"/>
            <w:sz w:val="20"/>
            <w:szCs w:val="20"/>
          </w:rPr>
          <w:t>25 °C</w:t>
        </w:r>
      </w:smartTag>
      <w:r w:rsidRPr="00A948AC">
        <w:rPr>
          <w:rFonts w:ascii="Arial" w:hAnsi="Arial" w:cs="Arial"/>
          <w:sz w:val="20"/>
          <w:szCs w:val="20"/>
        </w:rPr>
        <w:t>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3. При расчете </w:t>
      </w:r>
      <w:hyperlink w:anchor="Par192" w:tooltip="7" w:history="1">
        <w:r w:rsidRPr="00A948AC">
          <w:rPr>
            <w:rFonts w:ascii="Arial" w:hAnsi="Arial" w:cs="Arial"/>
            <w:sz w:val="20"/>
            <w:szCs w:val="20"/>
          </w:rPr>
          <w:t>показателя 7</w:t>
        </w:r>
      </w:hyperlink>
      <w:r w:rsidRPr="00A948AC">
        <w:rPr>
          <w:rFonts w:ascii="Arial" w:hAnsi="Arial" w:cs="Arial"/>
          <w:sz w:val="20"/>
          <w:szCs w:val="20"/>
        </w:rPr>
        <w:t xml:space="preserve"> принимают 1 калорию, равную 4,1868 Дж.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4. Нормы </w:t>
      </w:r>
      <w:hyperlink w:anchor="Par203" w:tooltip="9" w:history="1">
        <w:r w:rsidRPr="00A948AC">
          <w:rPr>
            <w:rFonts w:ascii="Arial" w:hAnsi="Arial" w:cs="Arial"/>
            <w:sz w:val="20"/>
            <w:szCs w:val="20"/>
          </w:rPr>
          <w:t>показателя 9</w:t>
        </w:r>
      </w:hyperlink>
      <w:r w:rsidRPr="00A948AC">
        <w:rPr>
          <w:rFonts w:ascii="Arial" w:hAnsi="Arial" w:cs="Arial"/>
          <w:sz w:val="20"/>
          <w:szCs w:val="20"/>
        </w:rPr>
        <w:t xml:space="preserve"> установлены при абсолютном давлении 3,92 МПа.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5. Нормы </w:t>
      </w:r>
      <w:hyperlink w:anchor="Par224" w:tooltip="10" w:history="1">
        <w:r w:rsidRPr="00A948AC">
          <w:rPr>
            <w:rFonts w:ascii="Arial" w:hAnsi="Arial" w:cs="Arial"/>
            <w:sz w:val="20"/>
            <w:szCs w:val="20"/>
          </w:rPr>
          <w:t>показателя 10</w:t>
        </w:r>
      </w:hyperlink>
      <w:r w:rsidRPr="00A948AC">
        <w:rPr>
          <w:rFonts w:ascii="Arial" w:hAnsi="Arial" w:cs="Arial"/>
          <w:sz w:val="20"/>
          <w:szCs w:val="20"/>
        </w:rPr>
        <w:t xml:space="preserve"> установлены при абсолютном давлении от 2,5 до 7,5 МПа, для газотранспортных систем с максимальным рабочим давлением более 7,5 МПа - при давлении в точке отбора пробы.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6. Для </w:t>
      </w:r>
      <w:hyperlink w:anchor="Par203" w:tooltip="9" w:history="1">
        <w:r w:rsidRPr="00A948AC">
          <w:rPr>
            <w:rFonts w:ascii="Arial" w:hAnsi="Arial" w:cs="Arial"/>
            <w:sz w:val="20"/>
            <w:szCs w:val="20"/>
          </w:rPr>
          <w:t>показателей 9</w:t>
        </w:r>
      </w:hyperlink>
      <w:r w:rsidRPr="00A948AC">
        <w:rPr>
          <w:rFonts w:ascii="Arial" w:hAnsi="Arial" w:cs="Arial"/>
          <w:sz w:val="20"/>
          <w:szCs w:val="20"/>
        </w:rPr>
        <w:t xml:space="preserve"> и </w:t>
      </w:r>
      <w:hyperlink w:anchor="Par224" w:tooltip="10" w:history="1">
        <w:r w:rsidRPr="00A948AC">
          <w:rPr>
            <w:rFonts w:ascii="Arial" w:hAnsi="Arial" w:cs="Arial"/>
            <w:sz w:val="20"/>
            <w:szCs w:val="20"/>
          </w:rPr>
          <w:t>10</w:t>
        </w:r>
      </w:hyperlink>
      <w:r w:rsidRPr="00A948AC">
        <w:rPr>
          <w:rFonts w:ascii="Arial" w:hAnsi="Arial" w:cs="Arial"/>
          <w:sz w:val="20"/>
          <w:szCs w:val="20"/>
        </w:rPr>
        <w:t xml:space="preserve"> нормы, приведенные в скобках, применяются по согласованию между поставляющей и принимающей сторонами для месторождений и подземных хранилищ, введенных в действие до 2000 года (в Республике Казахстан - до 2005 года) включительно.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>7. Для газа горючего природного, в котором содержание углеводородов C</w:t>
      </w:r>
      <w:r w:rsidRPr="00A948AC">
        <w:rPr>
          <w:rFonts w:ascii="Arial" w:hAnsi="Arial" w:cs="Arial"/>
          <w:sz w:val="20"/>
          <w:szCs w:val="20"/>
          <w:vertAlign w:val="subscript"/>
        </w:rPr>
        <w:t>5+</w:t>
      </w:r>
      <w:r w:rsidRPr="00A948AC">
        <w:rPr>
          <w:rFonts w:ascii="Arial" w:hAnsi="Arial" w:cs="Arial"/>
          <w:sz w:val="20"/>
          <w:szCs w:val="20"/>
        </w:rPr>
        <w:t xml:space="preserve"> не превышает 1,0 г/м</w:t>
      </w:r>
      <w:r w:rsidRPr="00A948AC">
        <w:rPr>
          <w:rFonts w:ascii="Arial" w:hAnsi="Arial" w:cs="Arial"/>
          <w:sz w:val="20"/>
          <w:szCs w:val="20"/>
          <w:vertAlign w:val="superscript"/>
        </w:rPr>
        <w:t>3</w:t>
      </w:r>
      <w:r w:rsidRPr="00A948AC">
        <w:rPr>
          <w:rFonts w:ascii="Arial" w:hAnsi="Arial" w:cs="Arial"/>
          <w:sz w:val="20"/>
          <w:szCs w:val="20"/>
        </w:rPr>
        <w:t xml:space="preserve">, </w:t>
      </w:r>
      <w:hyperlink w:anchor="Par224" w:tooltip="10" w:history="1">
        <w:r w:rsidRPr="00A948AC">
          <w:rPr>
            <w:rFonts w:ascii="Arial" w:hAnsi="Arial" w:cs="Arial"/>
            <w:sz w:val="20"/>
            <w:szCs w:val="20"/>
          </w:rPr>
          <w:t>показатель 10</w:t>
        </w:r>
      </w:hyperlink>
      <w:r w:rsidRPr="00A948AC">
        <w:rPr>
          <w:rFonts w:ascii="Arial" w:hAnsi="Arial" w:cs="Arial"/>
          <w:sz w:val="20"/>
          <w:szCs w:val="20"/>
        </w:rPr>
        <w:t xml:space="preserve"> допускается не нормировать.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>Массовая концентрация углеводородов C</w:t>
      </w:r>
      <w:r w:rsidRPr="00A948AC">
        <w:rPr>
          <w:rFonts w:ascii="Arial" w:hAnsi="Arial" w:cs="Arial"/>
          <w:sz w:val="20"/>
          <w:szCs w:val="20"/>
          <w:vertAlign w:val="subscript"/>
        </w:rPr>
        <w:t>5+</w:t>
      </w:r>
      <w:r w:rsidRPr="00A948AC">
        <w:rPr>
          <w:rFonts w:ascii="Arial" w:hAnsi="Arial" w:cs="Arial"/>
          <w:sz w:val="20"/>
          <w:szCs w:val="20"/>
        </w:rPr>
        <w:t xml:space="preserve"> г/м</w:t>
      </w:r>
      <w:r w:rsidRPr="00A948AC">
        <w:rPr>
          <w:rFonts w:ascii="Arial" w:hAnsi="Arial" w:cs="Arial"/>
          <w:sz w:val="20"/>
          <w:szCs w:val="20"/>
          <w:vertAlign w:val="superscript"/>
        </w:rPr>
        <w:t>3</w:t>
      </w:r>
      <w:r w:rsidRPr="00A948AC">
        <w:rPr>
          <w:rFonts w:ascii="Arial" w:hAnsi="Arial" w:cs="Arial"/>
          <w:sz w:val="20"/>
          <w:szCs w:val="20"/>
        </w:rPr>
        <w:t xml:space="preserve"> рассчитывается на основе компонентного состава по следующей формуле: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0"/>
          <w:szCs w:val="20"/>
        </w:rPr>
      </w:pPr>
    </w:p>
    <w:p w:rsidR="008953C1" w:rsidRPr="00A948AC" w:rsidRDefault="0022308A" w:rsidP="00AD0142">
      <w:pPr>
        <w:pStyle w:val="ConsPlusNormal"/>
        <w:spacing w:line="300" w:lineRule="atLeast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6019800" cy="5524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>где:</w:t>
      </w:r>
    </w:p>
    <w:p w:rsidR="008953C1" w:rsidRPr="00A948AC" w:rsidRDefault="0022308A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09575" cy="2857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53C1" w:rsidRPr="00A948AC">
        <w:rPr>
          <w:rFonts w:ascii="Arial" w:hAnsi="Arial" w:cs="Arial"/>
          <w:sz w:val="20"/>
          <w:szCs w:val="20"/>
        </w:rPr>
        <w:t xml:space="preserve"> - молярная доля суммы пентанов в исследуемом газе, %;</w:t>
      </w:r>
    </w:p>
    <w:p w:rsidR="008953C1" w:rsidRPr="00A948AC" w:rsidRDefault="0022308A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09575" cy="2857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53C1" w:rsidRPr="00A948AC">
        <w:rPr>
          <w:rFonts w:ascii="Arial" w:hAnsi="Arial" w:cs="Arial"/>
          <w:sz w:val="20"/>
          <w:szCs w:val="20"/>
        </w:rPr>
        <w:t xml:space="preserve"> - молярная доля суммы гексанов в исследуемом газе, %;</w:t>
      </w:r>
    </w:p>
    <w:p w:rsidR="008953C1" w:rsidRPr="00A948AC" w:rsidRDefault="0022308A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09575" cy="2857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53C1" w:rsidRPr="00A948AC">
        <w:rPr>
          <w:rFonts w:ascii="Arial" w:hAnsi="Arial" w:cs="Arial"/>
          <w:sz w:val="20"/>
          <w:szCs w:val="20"/>
        </w:rPr>
        <w:t xml:space="preserve"> - молярная доля суммы гептанов в исследуемом газе, %;</w:t>
      </w:r>
    </w:p>
    <w:p w:rsidR="008953C1" w:rsidRPr="00A948AC" w:rsidRDefault="0022308A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09575" cy="2857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53C1" w:rsidRPr="00A948AC">
        <w:rPr>
          <w:rFonts w:ascii="Arial" w:hAnsi="Arial" w:cs="Arial"/>
          <w:sz w:val="20"/>
          <w:szCs w:val="20"/>
        </w:rPr>
        <w:t xml:space="preserve"> - молярная доля суммы октанов в исследуемом газе, %.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lastRenderedPageBreak/>
        <w:t>Приложение N 2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к техническому регламенту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Евразийского экономического союза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"О безопасности газа горючего природного,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подготовленного к транспортированию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и (или) использованию"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(ТР ЕАЭС 046/2018)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bookmarkStart w:id="10" w:name="Par280"/>
      <w:bookmarkEnd w:id="10"/>
      <w:r w:rsidRPr="00A948AC">
        <w:rPr>
          <w:sz w:val="22"/>
          <w:szCs w:val="22"/>
        </w:rPr>
        <w:t>ТРЕБОВАНИЯ</w:t>
      </w: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К ГАЗУ ГОРЮЧЕМУ ПРИРОДНОМУ ПРОМЫШЛЕННОГО</w:t>
      </w: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r w:rsidRPr="00A948AC">
        <w:rPr>
          <w:sz w:val="22"/>
          <w:szCs w:val="22"/>
        </w:rPr>
        <w:t>И КОММУНАЛЬНО-БЫТОВОГО НАЗНАЧЕНИЯ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9"/>
        <w:gridCol w:w="3848"/>
        <w:gridCol w:w="1699"/>
        <w:gridCol w:w="1633"/>
        <w:gridCol w:w="1990"/>
      </w:tblGrid>
      <w:tr w:rsidR="008953C1" w:rsidRPr="00A948AC" w:rsidTr="00AD0142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N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Единица измерения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Норма</w:t>
            </w:r>
          </w:p>
        </w:tc>
      </w:tr>
      <w:tr w:rsidR="008953C1" w:rsidRPr="00A948AC" w:rsidTr="00AD014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минимальная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максимальная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компонентов (компонентный состав)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не нормируют, определение обязательно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кислорода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0,050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диоксида углерода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2,5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1" w:name="Par304"/>
            <w:bookmarkEnd w:id="11"/>
            <w:r w:rsidRPr="00A948A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сероводорода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0,020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меркаптановой серы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0,036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2" w:name="Par314"/>
            <w:bookmarkEnd w:id="12"/>
            <w:r w:rsidRPr="00A948A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Объемная теплота сгорания низшая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МДж/м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(ккал/м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A948A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31,80</w:t>
            </w:r>
          </w:p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(7600)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3" w:name="Par321"/>
            <w:bookmarkEnd w:id="13"/>
            <w:r w:rsidRPr="00A948A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Число Воббе высшее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МДж/м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A948AC">
              <w:rPr>
                <w:rFonts w:ascii="Arial" w:hAnsi="Arial" w:cs="Arial"/>
                <w:sz w:val="20"/>
                <w:szCs w:val="20"/>
              </w:rPr>
              <w:t xml:space="preserve"> (ккал/м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  <w:r w:rsidRPr="00A948A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41,20</w:t>
            </w:r>
          </w:p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(9840)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54,50</w:t>
            </w:r>
          </w:p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(13020)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4" w:name="Par328"/>
            <w:bookmarkEnd w:id="14"/>
            <w:r w:rsidRPr="00A948AC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Отклонение числа Воббе от номинального значения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22308A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>
                  <wp:extent cx="171450" cy="180975"/>
                  <wp:effectExtent l="1905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80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953C1" w:rsidRPr="00A948AC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5" w:name="Par333"/>
            <w:bookmarkEnd w:id="15"/>
            <w:r w:rsidRPr="00A948A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Плотность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кг/м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не нормируют, определение обязательно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6" w:name="Par337"/>
            <w:bookmarkEnd w:id="16"/>
            <w:r w:rsidRPr="00A948AC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Температура точки росы по воде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°C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Температура газа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7" w:name="Par342"/>
            <w:bookmarkEnd w:id="17"/>
            <w:r w:rsidRPr="00A948AC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Температура точки росы по углеводородам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°C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Температура газа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8" w:name="Par347"/>
            <w:bookmarkEnd w:id="18"/>
            <w:r w:rsidRPr="00A948AC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механических примесей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0,001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9" w:name="Par352"/>
            <w:bookmarkEnd w:id="19"/>
            <w:r w:rsidRPr="00A948AC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Интенсивность запаха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балл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Примечания: 1. Нормы </w:t>
      </w:r>
      <w:hyperlink w:anchor="Par304" w:tooltip="4" w:history="1">
        <w:r w:rsidRPr="00A948AC">
          <w:rPr>
            <w:rFonts w:ascii="Arial" w:hAnsi="Arial" w:cs="Arial"/>
            <w:sz w:val="20"/>
            <w:szCs w:val="20"/>
          </w:rPr>
          <w:t>показателей 4</w:t>
        </w:r>
      </w:hyperlink>
      <w:r w:rsidRPr="00A948AC">
        <w:rPr>
          <w:rFonts w:ascii="Arial" w:hAnsi="Arial" w:cs="Arial"/>
          <w:sz w:val="20"/>
          <w:szCs w:val="20"/>
        </w:rPr>
        <w:t xml:space="preserve"> - </w:t>
      </w:r>
      <w:hyperlink w:anchor="Par321" w:tooltip="7" w:history="1">
        <w:r w:rsidRPr="00A948AC">
          <w:rPr>
            <w:rFonts w:ascii="Arial" w:hAnsi="Arial" w:cs="Arial"/>
            <w:sz w:val="20"/>
            <w:szCs w:val="20"/>
          </w:rPr>
          <w:t>7</w:t>
        </w:r>
      </w:hyperlink>
      <w:r w:rsidRPr="00A948AC">
        <w:rPr>
          <w:rFonts w:ascii="Arial" w:hAnsi="Arial" w:cs="Arial"/>
          <w:sz w:val="20"/>
          <w:szCs w:val="20"/>
        </w:rPr>
        <w:t xml:space="preserve">, </w:t>
      </w:r>
      <w:hyperlink w:anchor="Par333" w:tooltip="9" w:history="1">
        <w:r w:rsidRPr="00A948AC">
          <w:rPr>
            <w:rFonts w:ascii="Arial" w:hAnsi="Arial" w:cs="Arial"/>
            <w:sz w:val="20"/>
            <w:szCs w:val="20"/>
          </w:rPr>
          <w:t>9</w:t>
        </w:r>
      </w:hyperlink>
      <w:r w:rsidRPr="00A948AC">
        <w:rPr>
          <w:rFonts w:ascii="Arial" w:hAnsi="Arial" w:cs="Arial"/>
          <w:sz w:val="20"/>
          <w:szCs w:val="20"/>
        </w:rPr>
        <w:t xml:space="preserve"> и </w:t>
      </w:r>
      <w:hyperlink w:anchor="Par347" w:tooltip="12" w:history="1">
        <w:r w:rsidRPr="00A948AC">
          <w:rPr>
            <w:rFonts w:ascii="Arial" w:hAnsi="Arial" w:cs="Arial"/>
            <w:sz w:val="20"/>
            <w:szCs w:val="20"/>
          </w:rPr>
          <w:t>12</w:t>
        </w:r>
      </w:hyperlink>
      <w:r w:rsidRPr="00A948AC">
        <w:rPr>
          <w:rFonts w:ascii="Arial" w:hAnsi="Arial" w:cs="Arial"/>
          <w:sz w:val="20"/>
          <w:szCs w:val="20"/>
        </w:rPr>
        <w:t xml:space="preserve"> установлены при стандартном давлении 101,325 кПа и стандартной температуре </w:t>
      </w:r>
      <w:smartTag w:uri="urn:schemas-microsoft-com:office:smarttags" w:element="metricconverter">
        <w:smartTagPr>
          <w:attr w:name="ProductID" w:val="20,0 ﾰC"/>
        </w:smartTagPr>
        <w:r w:rsidRPr="00A948AC">
          <w:rPr>
            <w:rFonts w:ascii="Arial" w:hAnsi="Arial" w:cs="Arial"/>
            <w:sz w:val="20"/>
            <w:szCs w:val="20"/>
          </w:rPr>
          <w:t>20,0 °C</w:t>
        </w:r>
      </w:smartTag>
      <w:r w:rsidRPr="00A948AC">
        <w:rPr>
          <w:rFonts w:ascii="Arial" w:hAnsi="Arial" w:cs="Arial"/>
          <w:sz w:val="20"/>
          <w:szCs w:val="20"/>
        </w:rPr>
        <w:t xml:space="preserve">. Стандартная температура сгорания при расчете объемной теплоты сгорания составляет </w:t>
      </w:r>
      <w:smartTag w:uri="urn:schemas-microsoft-com:office:smarttags" w:element="metricconverter">
        <w:smartTagPr>
          <w:attr w:name="ProductID" w:val="25 ﾰC"/>
        </w:smartTagPr>
        <w:r w:rsidRPr="00A948AC">
          <w:rPr>
            <w:rFonts w:ascii="Arial" w:hAnsi="Arial" w:cs="Arial"/>
            <w:sz w:val="20"/>
            <w:szCs w:val="20"/>
          </w:rPr>
          <w:t>25 °C</w:t>
        </w:r>
      </w:smartTag>
      <w:r w:rsidRPr="00A948AC">
        <w:rPr>
          <w:rFonts w:ascii="Arial" w:hAnsi="Arial" w:cs="Arial"/>
          <w:sz w:val="20"/>
          <w:szCs w:val="20"/>
        </w:rPr>
        <w:t>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lastRenderedPageBreak/>
        <w:t xml:space="preserve">2. При расчетах </w:t>
      </w:r>
      <w:hyperlink w:anchor="Par314" w:tooltip="6" w:history="1">
        <w:r w:rsidRPr="00A948AC">
          <w:rPr>
            <w:rFonts w:ascii="Arial" w:hAnsi="Arial" w:cs="Arial"/>
            <w:sz w:val="20"/>
            <w:szCs w:val="20"/>
          </w:rPr>
          <w:t>показателей 6</w:t>
        </w:r>
      </w:hyperlink>
      <w:r w:rsidRPr="00A948AC">
        <w:rPr>
          <w:rFonts w:ascii="Arial" w:hAnsi="Arial" w:cs="Arial"/>
          <w:sz w:val="20"/>
          <w:szCs w:val="20"/>
        </w:rPr>
        <w:t xml:space="preserve"> и </w:t>
      </w:r>
      <w:hyperlink w:anchor="Par321" w:tooltip="7" w:history="1">
        <w:r w:rsidRPr="00A948AC">
          <w:rPr>
            <w:rFonts w:ascii="Arial" w:hAnsi="Arial" w:cs="Arial"/>
            <w:sz w:val="20"/>
            <w:szCs w:val="20"/>
          </w:rPr>
          <w:t>7</w:t>
        </w:r>
      </w:hyperlink>
      <w:r w:rsidRPr="00A948AC">
        <w:rPr>
          <w:rFonts w:ascii="Arial" w:hAnsi="Arial" w:cs="Arial"/>
          <w:sz w:val="20"/>
          <w:szCs w:val="20"/>
        </w:rPr>
        <w:t xml:space="preserve"> принимают 1 калорию, равную 4,1868 Дж.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3. </w:t>
      </w:r>
      <w:hyperlink w:anchor="Par314" w:tooltip="6" w:history="1">
        <w:r w:rsidRPr="00A948AC">
          <w:rPr>
            <w:rFonts w:ascii="Arial" w:hAnsi="Arial" w:cs="Arial"/>
            <w:sz w:val="20"/>
            <w:szCs w:val="20"/>
          </w:rPr>
          <w:t>Показатели 6</w:t>
        </w:r>
      </w:hyperlink>
      <w:r w:rsidRPr="00A948AC">
        <w:rPr>
          <w:rFonts w:ascii="Arial" w:hAnsi="Arial" w:cs="Arial"/>
          <w:sz w:val="20"/>
          <w:szCs w:val="20"/>
        </w:rPr>
        <w:t xml:space="preserve"> - </w:t>
      </w:r>
      <w:hyperlink w:anchor="Par328" w:tooltip="8" w:history="1">
        <w:r w:rsidRPr="00A948AC">
          <w:rPr>
            <w:rFonts w:ascii="Arial" w:hAnsi="Arial" w:cs="Arial"/>
            <w:sz w:val="20"/>
            <w:szCs w:val="20"/>
          </w:rPr>
          <w:t>8</w:t>
        </w:r>
      </w:hyperlink>
      <w:r w:rsidRPr="00A948AC">
        <w:rPr>
          <w:rFonts w:ascii="Arial" w:hAnsi="Arial" w:cs="Arial"/>
          <w:sz w:val="20"/>
          <w:szCs w:val="20"/>
        </w:rPr>
        <w:t xml:space="preserve"> распространяются только на ГГП, используемый в качестве топлива.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4. Номинальное значение числа Воббе устанавливается в пределах нормы </w:t>
      </w:r>
      <w:hyperlink w:anchor="Par321" w:tooltip="7" w:history="1">
        <w:r w:rsidRPr="00A948AC">
          <w:rPr>
            <w:rFonts w:ascii="Arial" w:hAnsi="Arial" w:cs="Arial"/>
            <w:sz w:val="20"/>
            <w:szCs w:val="20"/>
          </w:rPr>
          <w:t>показателя 7</w:t>
        </w:r>
      </w:hyperlink>
      <w:r w:rsidRPr="00A948AC">
        <w:rPr>
          <w:rFonts w:ascii="Arial" w:hAnsi="Arial" w:cs="Arial"/>
          <w:sz w:val="20"/>
          <w:szCs w:val="20"/>
        </w:rPr>
        <w:t xml:space="preserve"> для отдельных газораспределительных систем по согласованию с потребителем.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5. Нормы </w:t>
      </w:r>
      <w:hyperlink w:anchor="Par337" w:tooltip="10" w:history="1">
        <w:r w:rsidRPr="00A948AC">
          <w:rPr>
            <w:rFonts w:ascii="Arial" w:hAnsi="Arial" w:cs="Arial"/>
            <w:sz w:val="20"/>
            <w:szCs w:val="20"/>
          </w:rPr>
          <w:t>показателей 10</w:t>
        </w:r>
      </w:hyperlink>
      <w:r w:rsidRPr="00A948AC">
        <w:rPr>
          <w:rFonts w:ascii="Arial" w:hAnsi="Arial" w:cs="Arial"/>
          <w:sz w:val="20"/>
          <w:szCs w:val="20"/>
        </w:rPr>
        <w:t xml:space="preserve"> и </w:t>
      </w:r>
      <w:hyperlink w:anchor="Par342" w:tooltip="11" w:history="1">
        <w:r w:rsidRPr="00A948AC">
          <w:rPr>
            <w:rFonts w:ascii="Arial" w:hAnsi="Arial" w:cs="Arial"/>
            <w:sz w:val="20"/>
            <w:szCs w:val="20"/>
          </w:rPr>
          <w:t>11</w:t>
        </w:r>
      </w:hyperlink>
      <w:r w:rsidRPr="00A948AC">
        <w:rPr>
          <w:rFonts w:ascii="Arial" w:hAnsi="Arial" w:cs="Arial"/>
          <w:sz w:val="20"/>
          <w:szCs w:val="20"/>
        </w:rPr>
        <w:t xml:space="preserve"> установлены при давлении в точке отбора пробы.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>6. Для ГГП, в котором содержание углеводородов C</w:t>
      </w:r>
      <w:r w:rsidRPr="00A948AC">
        <w:rPr>
          <w:rFonts w:ascii="Arial" w:hAnsi="Arial" w:cs="Arial"/>
          <w:sz w:val="20"/>
          <w:szCs w:val="20"/>
          <w:vertAlign w:val="subscript"/>
        </w:rPr>
        <w:t>5+высш</w:t>
      </w:r>
      <w:r w:rsidRPr="00A948AC">
        <w:rPr>
          <w:rFonts w:ascii="Arial" w:hAnsi="Arial" w:cs="Arial"/>
          <w:sz w:val="20"/>
          <w:szCs w:val="20"/>
        </w:rPr>
        <w:t xml:space="preserve"> не превышает 1,0 г/м</w:t>
      </w:r>
      <w:r w:rsidRPr="00A948AC">
        <w:rPr>
          <w:rFonts w:ascii="Arial" w:hAnsi="Arial" w:cs="Arial"/>
          <w:sz w:val="20"/>
          <w:szCs w:val="20"/>
          <w:vertAlign w:val="superscript"/>
        </w:rPr>
        <w:t>3</w:t>
      </w:r>
      <w:r w:rsidRPr="00A948AC">
        <w:rPr>
          <w:rFonts w:ascii="Arial" w:hAnsi="Arial" w:cs="Arial"/>
          <w:sz w:val="20"/>
          <w:szCs w:val="20"/>
        </w:rPr>
        <w:t xml:space="preserve">, </w:t>
      </w:r>
      <w:hyperlink w:anchor="Par342" w:tooltip="11" w:history="1">
        <w:r w:rsidRPr="00A948AC">
          <w:rPr>
            <w:rFonts w:ascii="Arial" w:hAnsi="Arial" w:cs="Arial"/>
            <w:sz w:val="20"/>
            <w:szCs w:val="20"/>
          </w:rPr>
          <w:t>показатель 11</w:t>
        </w:r>
      </w:hyperlink>
      <w:r w:rsidRPr="00A948AC">
        <w:rPr>
          <w:rFonts w:ascii="Arial" w:hAnsi="Arial" w:cs="Arial"/>
          <w:sz w:val="20"/>
          <w:szCs w:val="20"/>
        </w:rPr>
        <w:t xml:space="preserve"> допускается не нормировать.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>Массовая концентрация углеводородов C</w:t>
      </w:r>
      <w:r w:rsidRPr="00A948AC">
        <w:rPr>
          <w:rFonts w:ascii="Arial" w:hAnsi="Arial" w:cs="Arial"/>
          <w:sz w:val="20"/>
          <w:szCs w:val="20"/>
          <w:vertAlign w:val="subscript"/>
        </w:rPr>
        <w:t>5+</w:t>
      </w:r>
      <w:r w:rsidRPr="00A948AC">
        <w:rPr>
          <w:rFonts w:ascii="Arial" w:hAnsi="Arial" w:cs="Arial"/>
          <w:sz w:val="20"/>
          <w:szCs w:val="20"/>
        </w:rPr>
        <w:t xml:space="preserve"> г/м</w:t>
      </w:r>
      <w:r w:rsidRPr="00A948AC">
        <w:rPr>
          <w:rFonts w:ascii="Arial" w:hAnsi="Arial" w:cs="Arial"/>
          <w:sz w:val="20"/>
          <w:szCs w:val="20"/>
          <w:vertAlign w:val="superscript"/>
        </w:rPr>
        <w:t>3</w:t>
      </w:r>
      <w:r w:rsidRPr="00A948AC">
        <w:rPr>
          <w:rFonts w:ascii="Arial" w:hAnsi="Arial" w:cs="Arial"/>
          <w:sz w:val="20"/>
          <w:szCs w:val="20"/>
        </w:rPr>
        <w:t xml:space="preserve"> рассчитывается на основе компонентного состава по следующей формуле: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0"/>
          <w:szCs w:val="20"/>
        </w:rPr>
      </w:pPr>
    </w:p>
    <w:p w:rsidR="008953C1" w:rsidRPr="00A948AC" w:rsidRDefault="0022308A" w:rsidP="00AD0142">
      <w:pPr>
        <w:pStyle w:val="ConsPlusNormal"/>
        <w:spacing w:line="300" w:lineRule="atLeast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6019800" cy="5524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0"/>
          <w:szCs w:val="20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>где:</w:t>
      </w:r>
    </w:p>
    <w:p w:rsidR="008953C1" w:rsidRPr="00A948AC" w:rsidRDefault="0022308A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09575" cy="2857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53C1" w:rsidRPr="00A948AC">
        <w:rPr>
          <w:rFonts w:ascii="Arial" w:hAnsi="Arial" w:cs="Arial"/>
          <w:sz w:val="20"/>
          <w:szCs w:val="20"/>
        </w:rPr>
        <w:t xml:space="preserve"> - молярная доля суммы пентанов в исследуемом газе, %;</w:t>
      </w:r>
    </w:p>
    <w:p w:rsidR="008953C1" w:rsidRPr="00A948AC" w:rsidRDefault="0022308A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09575" cy="2857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53C1" w:rsidRPr="00A948AC">
        <w:rPr>
          <w:rFonts w:ascii="Arial" w:hAnsi="Arial" w:cs="Arial"/>
          <w:sz w:val="20"/>
          <w:szCs w:val="20"/>
        </w:rPr>
        <w:t xml:space="preserve"> - молярная доля суммы гексанов в исследуемом газе, %;</w:t>
      </w:r>
    </w:p>
    <w:p w:rsidR="008953C1" w:rsidRPr="00A948AC" w:rsidRDefault="0022308A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09575" cy="2857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53C1" w:rsidRPr="00A948AC">
        <w:rPr>
          <w:rFonts w:ascii="Arial" w:hAnsi="Arial" w:cs="Arial"/>
          <w:sz w:val="20"/>
          <w:szCs w:val="20"/>
        </w:rPr>
        <w:t xml:space="preserve"> - молярная доля суммы гептанов в исследуемом газе, %;</w:t>
      </w:r>
    </w:p>
    <w:p w:rsidR="008953C1" w:rsidRPr="00A948AC" w:rsidRDefault="0022308A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409575" cy="2857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53C1" w:rsidRPr="00A948AC">
        <w:rPr>
          <w:rFonts w:ascii="Arial" w:hAnsi="Arial" w:cs="Arial"/>
          <w:sz w:val="20"/>
          <w:szCs w:val="20"/>
        </w:rPr>
        <w:t xml:space="preserve"> - молярная доля суммы октанов в исследуемом газе, %.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7. Норма </w:t>
      </w:r>
      <w:hyperlink w:anchor="Par352" w:tooltip="13" w:history="1">
        <w:r w:rsidRPr="00A948AC">
          <w:rPr>
            <w:rFonts w:ascii="Arial" w:hAnsi="Arial" w:cs="Arial"/>
            <w:sz w:val="20"/>
            <w:szCs w:val="20"/>
          </w:rPr>
          <w:t>показателя 13</w:t>
        </w:r>
      </w:hyperlink>
      <w:r w:rsidRPr="00A948AC">
        <w:rPr>
          <w:rFonts w:ascii="Arial" w:hAnsi="Arial" w:cs="Arial"/>
          <w:sz w:val="20"/>
          <w:szCs w:val="20"/>
        </w:rPr>
        <w:t xml:space="preserve"> установлена для газовоздушной смеси, в которой объемная доля равна 1%.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8. </w:t>
      </w:r>
      <w:hyperlink w:anchor="Par352" w:tooltip="13" w:history="1">
        <w:r w:rsidRPr="00A948AC">
          <w:rPr>
            <w:rFonts w:ascii="Arial" w:hAnsi="Arial" w:cs="Arial"/>
            <w:sz w:val="20"/>
            <w:szCs w:val="20"/>
          </w:rPr>
          <w:t>Показатель 13</w:t>
        </w:r>
      </w:hyperlink>
      <w:r w:rsidRPr="00A948AC">
        <w:rPr>
          <w:rFonts w:ascii="Arial" w:hAnsi="Arial" w:cs="Arial"/>
          <w:sz w:val="20"/>
          <w:szCs w:val="20"/>
        </w:rPr>
        <w:t xml:space="preserve"> распространяется только на ГГП коммунально-бытового назначения.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9. Для газа горючего природного промышленного назначения норма </w:t>
      </w:r>
      <w:hyperlink w:anchor="Par352" w:tooltip="13" w:history="1">
        <w:r w:rsidRPr="00A948AC">
          <w:rPr>
            <w:rFonts w:ascii="Arial" w:hAnsi="Arial" w:cs="Arial"/>
            <w:sz w:val="20"/>
            <w:szCs w:val="20"/>
          </w:rPr>
          <w:t>показателя 13</w:t>
        </w:r>
      </w:hyperlink>
      <w:r w:rsidRPr="00A948AC">
        <w:rPr>
          <w:rFonts w:ascii="Arial" w:hAnsi="Arial" w:cs="Arial"/>
          <w:sz w:val="20"/>
          <w:szCs w:val="20"/>
        </w:rPr>
        <w:t xml:space="preserve"> устанавливается по согласованию с потребителем.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>10. По согласованию с потребителем и при условии обязательного обеспечения нормируемого значения показателя 10 допускается подача газа горючего природного с молярной долей диоксида углерода до 4% по газопроводам, ведущим исключительно к данному потребителю.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lastRenderedPageBreak/>
        <w:t>Приложение N 3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к техническому регламенту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Евразийского экономического союза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"О безопасности газа горючего природного,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подготовленного к транспортированию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и (или) использованию"</w:t>
      </w:r>
    </w:p>
    <w:p w:rsidR="008953C1" w:rsidRPr="00A948AC" w:rsidRDefault="008953C1" w:rsidP="00AD0142">
      <w:pPr>
        <w:pStyle w:val="ConsPlusNormal"/>
        <w:spacing w:line="30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(ТР ЕАЭС 046/2018)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Title"/>
        <w:spacing w:line="300" w:lineRule="atLeast"/>
        <w:jc w:val="center"/>
        <w:rPr>
          <w:sz w:val="22"/>
          <w:szCs w:val="22"/>
        </w:rPr>
      </w:pPr>
      <w:bookmarkStart w:id="20" w:name="Par390"/>
      <w:bookmarkEnd w:id="20"/>
      <w:r w:rsidRPr="00A948AC">
        <w:rPr>
          <w:sz w:val="22"/>
          <w:szCs w:val="22"/>
        </w:rPr>
        <w:t>ТРЕБОВАНИЯ К ГАЗУ ГОРЮЧЕМУ ПРИРОДНОМУ КОМПРИМИРОВАННОМУ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8"/>
        <w:gridCol w:w="3859"/>
        <w:gridCol w:w="1695"/>
        <w:gridCol w:w="1760"/>
        <w:gridCol w:w="1857"/>
      </w:tblGrid>
      <w:tr w:rsidR="008953C1" w:rsidRPr="00A948AC" w:rsidTr="00AD0142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N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Единица измерения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Норма</w:t>
            </w:r>
          </w:p>
        </w:tc>
      </w:tr>
      <w:tr w:rsidR="008953C1" w:rsidRPr="00A948AC" w:rsidTr="00AD014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минимальная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максимальная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компонентов (компонентный состав)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не нормируют, определение обязательно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1" w:name="Par402"/>
            <w:bookmarkEnd w:id="21"/>
            <w:r w:rsidRPr="00A948A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Объемная теплота сгорания низшая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МДж/м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31,80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Относительная плотность к воздуху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0,70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Расчетное метановое число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2" w:name="Par417"/>
            <w:bookmarkEnd w:id="22"/>
            <w:r w:rsidRPr="00A948A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сероводорода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0,02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3" w:name="Par422"/>
            <w:bookmarkEnd w:id="23"/>
            <w:r w:rsidRPr="00A948A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меркаптановой серы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0,036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негорючих компонентов (суммарная)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7,0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кислорода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1,0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4" w:name="Par437"/>
            <w:bookmarkEnd w:id="24"/>
            <w:r w:rsidRPr="00A948A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паров воды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0,009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5" w:name="Par442"/>
            <w:bookmarkEnd w:id="25"/>
            <w:r w:rsidRPr="00A948AC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AD0142">
            <w:pPr>
              <w:pStyle w:val="ConsPlusNormal"/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механических примесей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AD0142">
            <w:pPr>
              <w:pStyle w:val="ConsPlusNormal"/>
              <w:spacing w:line="30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0,001</w:t>
            </w:r>
          </w:p>
        </w:tc>
      </w:tr>
    </w:tbl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Примечания: 1. Значения </w:t>
      </w:r>
      <w:hyperlink w:anchor="Par402" w:tooltip="2" w:history="1">
        <w:r w:rsidRPr="00A948AC">
          <w:rPr>
            <w:rFonts w:ascii="Arial" w:hAnsi="Arial" w:cs="Arial"/>
            <w:sz w:val="20"/>
            <w:szCs w:val="20"/>
          </w:rPr>
          <w:t>показателей 2</w:t>
        </w:r>
      </w:hyperlink>
      <w:r w:rsidRPr="00A948AC">
        <w:rPr>
          <w:rFonts w:ascii="Arial" w:hAnsi="Arial" w:cs="Arial"/>
          <w:sz w:val="20"/>
          <w:szCs w:val="20"/>
        </w:rPr>
        <w:t xml:space="preserve">, </w:t>
      </w:r>
      <w:hyperlink w:anchor="Par417" w:tooltip="5" w:history="1">
        <w:r w:rsidRPr="00A948AC">
          <w:rPr>
            <w:rFonts w:ascii="Arial" w:hAnsi="Arial" w:cs="Arial"/>
            <w:sz w:val="20"/>
            <w:szCs w:val="20"/>
          </w:rPr>
          <w:t>5</w:t>
        </w:r>
      </w:hyperlink>
      <w:r w:rsidRPr="00A948AC">
        <w:rPr>
          <w:rFonts w:ascii="Arial" w:hAnsi="Arial" w:cs="Arial"/>
          <w:sz w:val="20"/>
          <w:szCs w:val="20"/>
        </w:rPr>
        <w:t xml:space="preserve">, </w:t>
      </w:r>
      <w:hyperlink w:anchor="Par422" w:tooltip="6" w:history="1">
        <w:r w:rsidRPr="00A948AC">
          <w:rPr>
            <w:rFonts w:ascii="Arial" w:hAnsi="Arial" w:cs="Arial"/>
            <w:sz w:val="20"/>
            <w:szCs w:val="20"/>
          </w:rPr>
          <w:t>6</w:t>
        </w:r>
      </w:hyperlink>
      <w:r w:rsidRPr="00A948AC">
        <w:rPr>
          <w:rFonts w:ascii="Arial" w:hAnsi="Arial" w:cs="Arial"/>
          <w:sz w:val="20"/>
          <w:szCs w:val="20"/>
        </w:rPr>
        <w:t xml:space="preserve">, </w:t>
      </w:r>
      <w:hyperlink w:anchor="Par437" w:tooltip="9" w:history="1">
        <w:r w:rsidRPr="00A948AC">
          <w:rPr>
            <w:rFonts w:ascii="Arial" w:hAnsi="Arial" w:cs="Arial"/>
            <w:sz w:val="20"/>
            <w:szCs w:val="20"/>
          </w:rPr>
          <w:t>9</w:t>
        </w:r>
      </w:hyperlink>
      <w:r w:rsidRPr="00A948AC">
        <w:rPr>
          <w:rFonts w:ascii="Arial" w:hAnsi="Arial" w:cs="Arial"/>
          <w:sz w:val="20"/>
          <w:szCs w:val="20"/>
        </w:rPr>
        <w:t xml:space="preserve"> и </w:t>
      </w:r>
      <w:hyperlink w:anchor="Par442" w:tooltip="10" w:history="1">
        <w:r w:rsidRPr="00A948AC">
          <w:rPr>
            <w:rFonts w:ascii="Arial" w:hAnsi="Arial" w:cs="Arial"/>
            <w:sz w:val="20"/>
            <w:szCs w:val="20"/>
          </w:rPr>
          <w:t>10</w:t>
        </w:r>
      </w:hyperlink>
      <w:r w:rsidRPr="00A948AC">
        <w:rPr>
          <w:rFonts w:ascii="Arial" w:hAnsi="Arial" w:cs="Arial"/>
          <w:sz w:val="20"/>
          <w:szCs w:val="20"/>
        </w:rPr>
        <w:t xml:space="preserve"> установлены при стандартном давлении 101,325 кПа и стандартной температуре </w:t>
      </w:r>
      <w:smartTag w:uri="urn:schemas-microsoft-com:office:smarttags" w:element="metricconverter">
        <w:smartTagPr>
          <w:attr w:name="ProductID" w:val="20,0 ﾰC"/>
        </w:smartTagPr>
        <w:r w:rsidRPr="00A948AC">
          <w:rPr>
            <w:rFonts w:ascii="Arial" w:hAnsi="Arial" w:cs="Arial"/>
            <w:sz w:val="20"/>
            <w:szCs w:val="20"/>
          </w:rPr>
          <w:t>20,0 °C</w:t>
        </w:r>
      </w:smartTag>
      <w:r w:rsidRPr="00A948AC">
        <w:rPr>
          <w:rFonts w:ascii="Arial" w:hAnsi="Arial" w:cs="Arial"/>
          <w:sz w:val="20"/>
          <w:szCs w:val="20"/>
        </w:rPr>
        <w:t xml:space="preserve">. Стандартная температура сгорания при расчете объемной теплоты сгорания составляет </w:t>
      </w:r>
      <w:smartTag w:uri="urn:schemas-microsoft-com:office:smarttags" w:element="metricconverter">
        <w:smartTagPr>
          <w:attr w:name="ProductID" w:val="25,0 ﾰC"/>
        </w:smartTagPr>
        <w:r w:rsidRPr="00A948AC">
          <w:rPr>
            <w:rFonts w:ascii="Arial" w:hAnsi="Arial" w:cs="Arial"/>
            <w:sz w:val="20"/>
            <w:szCs w:val="20"/>
          </w:rPr>
          <w:t>25,0 °C</w:t>
        </w:r>
      </w:smartTag>
      <w:r w:rsidRPr="00A948AC">
        <w:rPr>
          <w:rFonts w:ascii="Arial" w:hAnsi="Arial" w:cs="Arial"/>
          <w:sz w:val="20"/>
          <w:szCs w:val="20"/>
        </w:rPr>
        <w:t>.</w:t>
      </w:r>
    </w:p>
    <w:p w:rsidR="008953C1" w:rsidRPr="00A948AC" w:rsidRDefault="008953C1" w:rsidP="00AD0142">
      <w:pPr>
        <w:pStyle w:val="ConsPlusNormal"/>
        <w:spacing w:line="30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2. Температура ГГП, заправляемого в баллон, может превышать температуру окружающего воздуха не более чем на </w:t>
      </w:r>
      <w:smartTag w:uri="urn:schemas-microsoft-com:office:smarttags" w:element="metricconverter">
        <w:smartTagPr>
          <w:attr w:name="ProductID" w:val="15,0 ﾰC"/>
        </w:smartTagPr>
        <w:r w:rsidRPr="00A948AC">
          <w:rPr>
            <w:rFonts w:ascii="Arial" w:hAnsi="Arial" w:cs="Arial"/>
            <w:sz w:val="20"/>
            <w:szCs w:val="20"/>
          </w:rPr>
          <w:t>15,0 °C</w:t>
        </w:r>
      </w:smartTag>
      <w:r w:rsidRPr="00A948AC">
        <w:rPr>
          <w:rFonts w:ascii="Arial" w:hAnsi="Arial" w:cs="Arial"/>
          <w:sz w:val="20"/>
          <w:szCs w:val="20"/>
        </w:rPr>
        <w:t xml:space="preserve">, но не должна быть выше </w:t>
      </w:r>
      <w:smartTag w:uri="urn:schemas-microsoft-com:office:smarttags" w:element="metricconverter">
        <w:smartTagPr>
          <w:attr w:name="ProductID" w:val="60,0 ﾰC"/>
        </w:smartTagPr>
        <w:r w:rsidRPr="00A948AC">
          <w:rPr>
            <w:rFonts w:ascii="Arial" w:hAnsi="Arial" w:cs="Arial"/>
            <w:sz w:val="20"/>
            <w:szCs w:val="20"/>
          </w:rPr>
          <w:t>60,0 °C</w:t>
        </w:r>
      </w:smartTag>
      <w:r w:rsidRPr="00A948AC">
        <w:rPr>
          <w:rFonts w:ascii="Arial" w:hAnsi="Arial" w:cs="Arial"/>
          <w:sz w:val="20"/>
          <w:szCs w:val="20"/>
        </w:rPr>
        <w:t>.</w:t>
      </w:r>
    </w:p>
    <w:p w:rsidR="008953C1" w:rsidRPr="00A948AC" w:rsidRDefault="008953C1" w:rsidP="00AD0142">
      <w:pPr>
        <w:pStyle w:val="ConsPlusNormal"/>
        <w:spacing w:line="300" w:lineRule="atLeast"/>
        <w:jc w:val="both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5E6F9A" w:rsidRPr="00A948AC" w:rsidRDefault="005E6F9A" w:rsidP="00AD0142">
      <w:pPr>
        <w:pStyle w:val="ConsPlusNormal"/>
        <w:spacing w:line="300" w:lineRule="atLeast"/>
        <w:jc w:val="right"/>
        <w:outlineLvl w:val="1"/>
        <w:rPr>
          <w:rFonts w:ascii="Arial" w:hAnsi="Arial" w:cs="Arial"/>
          <w:sz w:val="22"/>
          <w:szCs w:val="22"/>
        </w:rPr>
      </w:pPr>
    </w:p>
    <w:p w:rsidR="008953C1" w:rsidRPr="00A948AC" w:rsidRDefault="008953C1" w:rsidP="0022308A">
      <w:pPr>
        <w:pStyle w:val="ConsPlusNormal"/>
        <w:spacing w:line="260" w:lineRule="atLeast"/>
        <w:jc w:val="right"/>
        <w:outlineLvl w:val="1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lastRenderedPageBreak/>
        <w:t>Приложение N 4</w:t>
      </w:r>
    </w:p>
    <w:p w:rsidR="008953C1" w:rsidRPr="00A948AC" w:rsidRDefault="008953C1" w:rsidP="0022308A">
      <w:pPr>
        <w:pStyle w:val="ConsPlusNormal"/>
        <w:spacing w:line="26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к техническому регламенту</w:t>
      </w:r>
    </w:p>
    <w:p w:rsidR="008953C1" w:rsidRPr="00A948AC" w:rsidRDefault="008953C1" w:rsidP="0022308A">
      <w:pPr>
        <w:pStyle w:val="ConsPlusNormal"/>
        <w:spacing w:line="26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Евразийского экономического союза</w:t>
      </w:r>
    </w:p>
    <w:p w:rsidR="008953C1" w:rsidRPr="00A948AC" w:rsidRDefault="008953C1" w:rsidP="0022308A">
      <w:pPr>
        <w:pStyle w:val="ConsPlusNormal"/>
        <w:spacing w:line="26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"О безопасности газа горючего природного,</w:t>
      </w:r>
    </w:p>
    <w:p w:rsidR="008953C1" w:rsidRPr="00A948AC" w:rsidRDefault="008953C1" w:rsidP="0022308A">
      <w:pPr>
        <w:pStyle w:val="ConsPlusNormal"/>
        <w:spacing w:line="26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подготовленного к транспортированию</w:t>
      </w:r>
    </w:p>
    <w:p w:rsidR="008953C1" w:rsidRPr="00A948AC" w:rsidRDefault="008953C1" w:rsidP="0022308A">
      <w:pPr>
        <w:pStyle w:val="ConsPlusNormal"/>
        <w:spacing w:line="26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и (или) использованию"</w:t>
      </w:r>
    </w:p>
    <w:p w:rsidR="008953C1" w:rsidRPr="00A948AC" w:rsidRDefault="008953C1" w:rsidP="0022308A">
      <w:pPr>
        <w:pStyle w:val="ConsPlusNormal"/>
        <w:spacing w:line="260" w:lineRule="atLeast"/>
        <w:jc w:val="right"/>
        <w:rPr>
          <w:rFonts w:ascii="Arial" w:hAnsi="Arial" w:cs="Arial"/>
          <w:sz w:val="22"/>
          <w:szCs w:val="22"/>
        </w:rPr>
      </w:pPr>
      <w:r w:rsidRPr="00A948AC">
        <w:rPr>
          <w:rFonts w:ascii="Arial" w:hAnsi="Arial" w:cs="Arial"/>
          <w:sz w:val="22"/>
          <w:szCs w:val="22"/>
        </w:rPr>
        <w:t>(ТР ЕАЭС 046/2018)</w:t>
      </w:r>
    </w:p>
    <w:p w:rsidR="008953C1" w:rsidRPr="00A948AC" w:rsidRDefault="008953C1" w:rsidP="0022308A">
      <w:pPr>
        <w:pStyle w:val="ConsPlusNormal"/>
        <w:spacing w:line="260" w:lineRule="atLeast"/>
        <w:jc w:val="both"/>
        <w:rPr>
          <w:rFonts w:ascii="Arial" w:hAnsi="Arial" w:cs="Arial"/>
          <w:sz w:val="22"/>
          <w:szCs w:val="22"/>
        </w:rPr>
      </w:pPr>
    </w:p>
    <w:p w:rsidR="008953C1" w:rsidRPr="00A948AC" w:rsidRDefault="008953C1" w:rsidP="0022308A">
      <w:pPr>
        <w:pStyle w:val="ConsPlusTitle"/>
        <w:spacing w:line="260" w:lineRule="atLeast"/>
        <w:jc w:val="center"/>
        <w:rPr>
          <w:sz w:val="22"/>
          <w:szCs w:val="22"/>
        </w:rPr>
      </w:pPr>
      <w:bookmarkStart w:id="26" w:name="Par463"/>
      <w:bookmarkEnd w:id="26"/>
      <w:r w:rsidRPr="00A948AC">
        <w:rPr>
          <w:sz w:val="22"/>
          <w:szCs w:val="22"/>
        </w:rPr>
        <w:t>ТРЕБОВАНИЯ К ГАЗУ ГОРЮЧЕМУ ПРИРОДНОМУ СЖИЖЕННОМУ</w:t>
      </w:r>
    </w:p>
    <w:p w:rsidR="008953C1" w:rsidRPr="00A948AC" w:rsidRDefault="008953C1" w:rsidP="0022308A">
      <w:pPr>
        <w:pStyle w:val="ConsPlusNormal"/>
        <w:spacing w:line="260" w:lineRule="atLeast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4"/>
        <w:gridCol w:w="2014"/>
        <w:gridCol w:w="1246"/>
        <w:gridCol w:w="901"/>
        <w:gridCol w:w="1042"/>
        <w:gridCol w:w="1049"/>
        <w:gridCol w:w="1215"/>
        <w:gridCol w:w="838"/>
        <w:gridCol w:w="970"/>
      </w:tblGrid>
      <w:tr w:rsidR="008953C1" w:rsidRPr="00A948AC" w:rsidTr="00AD0142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N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Единица измерения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Норма</w:t>
            </w:r>
          </w:p>
        </w:tc>
      </w:tr>
      <w:tr w:rsidR="008953C1" w:rsidRPr="00A948AC" w:rsidTr="00AD014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F9A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СПГ для авиационных газотурбинных двигателей</w:t>
            </w:r>
          </w:p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(марка А)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СПГ для автомобильных двигателей внутреннего сгорания (марка Б)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F9A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СПГ для энергетических установок</w:t>
            </w:r>
          </w:p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(марка В)</w:t>
            </w:r>
          </w:p>
        </w:tc>
      </w:tr>
      <w:tr w:rsidR="008953C1" w:rsidRPr="00A948AC" w:rsidTr="00AD014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мин.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макс.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мин.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макс.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мин.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макс.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компонентов (компонентный состав)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не нормируют, определение обязательно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метана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99,0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80,0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75,0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7" w:name="Par491"/>
            <w:bookmarkEnd w:id="27"/>
            <w:r w:rsidRPr="00A948A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Число Воббе высшее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МДж/м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47,2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49,2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41,2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54,5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8" w:name="Par499"/>
            <w:bookmarkEnd w:id="28"/>
            <w:r w:rsidRPr="00A948A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Объемная теплота сгорания низшая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МДж/м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31,8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36,8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31,8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азота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5,0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5,0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диоксида углерода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0,030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Молярная доля кислорода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0,020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9" w:name="Par533"/>
            <w:bookmarkEnd w:id="29"/>
            <w:r w:rsidRPr="00A948AC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сероводорода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0,020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30" w:name="Par542"/>
            <w:bookmarkEnd w:id="30"/>
            <w:r w:rsidRPr="00A948A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Массовая концентрация меркаптановой серы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г/м</w:t>
            </w:r>
            <w:r w:rsidRPr="00A948AC">
              <w:rPr>
                <w:rFonts w:ascii="Arial" w:hAns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0,036</w:t>
            </w:r>
          </w:p>
        </w:tc>
      </w:tr>
      <w:tr w:rsidR="008953C1" w:rsidRPr="00A948AC" w:rsidTr="00AD01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Расчетное метановое число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3C1" w:rsidRPr="00A948AC" w:rsidRDefault="008953C1" w:rsidP="0022308A">
            <w:pPr>
              <w:pStyle w:val="ConsPlusNormal"/>
              <w:spacing w:line="26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48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:rsidR="0022308A" w:rsidRDefault="0022308A" w:rsidP="0022308A">
      <w:pPr>
        <w:pStyle w:val="ConsPlusNormal"/>
        <w:spacing w:line="260" w:lineRule="atLeast"/>
        <w:ind w:firstLine="540"/>
        <w:jc w:val="both"/>
        <w:rPr>
          <w:rFonts w:ascii="Arial" w:hAnsi="Arial" w:cs="Arial"/>
          <w:sz w:val="20"/>
          <w:szCs w:val="20"/>
        </w:rPr>
      </w:pPr>
    </w:p>
    <w:p w:rsidR="008953C1" w:rsidRPr="00A948AC" w:rsidRDefault="008953C1" w:rsidP="0022308A">
      <w:pPr>
        <w:pStyle w:val="ConsPlusNormal"/>
        <w:spacing w:line="260" w:lineRule="atLeast"/>
        <w:ind w:firstLine="540"/>
        <w:jc w:val="both"/>
        <w:rPr>
          <w:rFonts w:ascii="Arial" w:hAnsi="Arial" w:cs="Arial"/>
          <w:sz w:val="20"/>
          <w:szCs w:val="20"/>
        </w:rPr>
      </w:pPr>
      <w:r w:rsidRPr="00A948AC">
        <w:rPr>
          <w:rFonts w:ascii="Arial" w:hAnsi="Arial" w:cs="Arial"/>
          <w:sz w:val="20"/>
          <w:szCs w:val="20"/>
        </w:rPr>
        <w:t xml:space="preserve">Примечание. Нормы </w:t>
      </w:r>
      <w:hyperlink w:anchor="Par491" w:tooltip="3" w:history="1">
        <w:r w:rsidRPr="00A948AC">
          <w:rPr>
            <w:rFonts w:ascii="Arial" w:hAnsi="Arial" w:cs="Arial"/>
            <w:sz w:val="20"/>
            <w:szCs w:val="20"/>
          </w:rPr>
          <w:t>показателей 3</w:t>
        </w:r>
      </w:hyperlink>
      <w:r w:rsidRPr="00A948AC">
        <w:rPr>
          <w:rFonts w:ascii="Arial" w:hAnsi="Arial" w:cs="Arial"/>
          <w:sz w:val="20"/>
          <w:szCs w:val="20"/>
        </w:rPr>
        <w:t xml:space="preserve">, </w:t>
      </w:r>
      <w:hyperlink w:anchor="Par499" w:tooltip="4" w:history="1">
        <w:r w:rsidRPr="00A948AC">
          <w:rPr>
            <w:rFonts w:ascii="Arial" w:hAnsi="Arial" w:cs="Arial"/>
            <w:sz w:val="20"/>
            <w:szCs w:val="20"/>
          </w:rPr>
          <w:t>4</w:t>
        </w:r>
      </w:hyperlink>
      <w:r w:rsidRPr="00A948AC">
        <w:rPr>
          <w:rFonts w:ascii="Arial" w:hAnsi="Arial" w:cs="Arial"/>
          <w:sz w:val="20"/>
          <w:szCs w:val="20"/>
        </w:rPr>
        <w:t xml:space="preserve">, </w:t>
      </w:r>
      <w:hyperlink w:anchor="Par533" w:tooltip="8" w:history="1">
        <w:r w:rsidRPr="00A948AC">
          <w:rPr>
            <w:rFonts w:ascii="Arial" w:hAnsi="Arial" w:cs="Arial"/>
            <w:sz w:val="20"/>
            <w:szCs w:val="20"/>
          </w:rPr>
          <w:t>8</w:t>
        </w:r>
      </w:hyperlink>
      <w:r w:rsidRPr="00A948AC">
        <w:rPr>
          <w:rFonts w:ascii="Arial" w:hAnsi="Arial" w:cs="Arial"/>
          <w:sz w:val="20"/>
          <w:szCs w:val="20"/>
        </w:rPr>
        <w:t xml:space="preserve"> и </w:t>
      </w:r>
      <w:hyperlink w:anchor="Par542" w:tooltip="9" w:history="1">
        <w:r w:rsidRPr="00A948AC">
          <w:rPr>
            <w:rFonts w:ascii="Arial" w:hAnsi="Arial" w:cs="Arial"/>
            <w:sz w:val="20"/>
            <w:szCs w:val="20"/>
          </w:rPr>
          <w:t>9</w:t>
        </w:r>
      </w:hyperlink>
      <w:r w:rsidRPr="00A948AC">
        <w:rPr>
          <w:rFonts w:ascii="Arial" w:hAnsi="Arial" w:cs="Arial"/>
          <w:sz w:val="20"/>
          <w:szCs w:val="20"/>
        </w:rPr>
        <w:t xml:space="preserve"> установлены при стандартном давлении 101,325 кПа и стандартной температуре </w:t>
      </w:r>
      <w:smartTag w:uri="urn:schemas-microsoft-com:office:smarttags" w:element="metricconverter">
        <w:smartTagPr>
          <w:attr w:name="ProductID" w:val="20,0 ﾰC"/>
        </w:smartTagPr>
        <w:r w:rsidRPr="00A948AC">
          <w:rPr>
            <w:rFonts w:ascii="Arial" w:hAnsi="Arial" w:cs="Arial"/>
            <w:sz w:val="20"/>
            <w:szCs w:val="20"/>
          </w:rPr>
          <w:t>20,0 °C</w:t>
        </w:r>
      </w:smartTag>
      <w:r w:rsidRPr="00A948AC">
        <w:rPr>
          <w:rFonts w:ascii="Arial" w:hAnsi="Arial" w:cs="Arial"/>
          <w:sz w:val="20"/>
          <w:szCs w:val="20"/>
        </w:rPr>
        <w:t xml:space="preserve">. Стандартная температура сгорания при расчете объемной теплоты сгорания составляет </w:t>
      </w:r>
      <w:smartTag w:uri="urn:schemas-microsoft-com:office:smarttags" w:element="metricconverter">
        <w:smartTagPr>
          <w:attr w:name="ProductID" w:val="25,0 ﾰC"/>
        </w:smartTagPr>
        <w:r w:rsidRPr="00A948AC">
          <w:rPr>
            <w:rFonts w:ascii="Arial" w:hAnsi="Arial" w:cs="Arial"/>
            <w:sz w:val="20"/>
            <w:szCs w:val="20"/>
          </w:rPr>
          <w:t>25,0 °C</w:t>
        </w:r>
      </w:smartTag>
      <w:r w:rsidRPr="00A948AC">
        <w:rPr>
          <w:rFonts w:ascii="Arial" w:hAnsi="Arial" w:cs="Arial"/>
          <w:sz w:val="20"/>
          <w:szCs w:val="20"/>
        </w:rPr>
        <w:t>.</w:t>
      </w:r>
    </w:p>
    <w:sectPr w:rsidR="008953C1" w:rsidRPr="00A948AC" w:rsidSect="005E6F9A">
      <w:pgSz w:w="11906" w:h="16838" w:code="9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05EC" w:rsidRDefault="000705EC">
      <w:r>
        <w:separator/>
      </w:r>
    </w:p>
  </w:endnote>
  <w:endnote w:type="continuationSeparator" w:id="0">
    <w:p w:rsidR="000705EC" w:rsidRDefault="000705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05EC" w:rsidRDefault="000705EC">
      <w:r>
        <w:separator/>
      </w:r>
    </w:p>
  </w:footnote>
  <w:footnote w:type="continuationSeparator" w:id="0">
    <w:p w:rsidR="000705EC" w:rsidRDefault="000705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C065FA"/>
    <w:rsid w:val="000705EC"/>
    <w:rsid w:val="00126FD2"/>
    <w:rsid w:val="0022308A"/>
    <w:rsid w:val="002F37A0"/>
    <w:rsid w:val="005E6F9A"/>
    <w:rsid w:val="007F29E6"/>
    <w:rsid w:val="008953C1"/>
    <w:rsid w:val="009C7645"/>
    <w:rsid w:val="00A41EEF"/>
    <w:rsid w:val="00A948AC"/>
    <w:rsid w:val="00AD0142"/>
    <w:rsid w:val="00C06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sPlusNonformat">
    <w:name w:val="ConsPlusNonformat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4"/>
      <w:szCs w:val="24"/>
    </w:rPr>
  </w:style>
  <w:style w:type="paragraph" w:customStyle="1" w:styleId="ConsPlusCell">
    <w:name w:val="ConsPlusCell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DocList">
    <w:name w:val="ConsPlusDocList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pPr>
      <w:widowControl w:val="0"/>
      <w:autoSpaceDE w:val="0"/>
      <w:autoSpaceDN w:val="0"/>
      <w:adjustRightInd w:val="0"/>
    </w:pPr>
    <w:rPr>
      <w:rFonts w:ascii="Tahoma" w:hAnsi="Tahoma" w:cs="Tahoma"/>
      <w:sz w:val="24"/>
      <w:szCs w:val="24"/>
    </w:rPr>
  </w:style>
  <w:style w:type="paragraph" w:customStyle="1" w:styleId="ConsPlusJurTerm">
    <w:name w:val="ConsPlusJurTerm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sPlusTextList">
    <w:name w:val="ConsPlusTextList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sPlusTextList1">
    <w:name w:val="ConsPlusTextList1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3">
    <w:name w:val="header"/>
    <w:basedOn w:val="a"/>
    <w:rsid w:val="00AD0142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AD0142"/>
    <w:pPr>
      <w:tabs>
        <w:tab w:val="center" w:pos="4677"/>
        <w:tab w:val="right" w:pos="935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wmf"/><Relationship Id="rId4" Type="http://schemas.openxmlformats.org/officeDocument/2006/relationships/footnotes" Target="footnotes.xml"/><Relationship Id="rId9" Type="http://schemas.openxmlformats.org/officeDocument/2006/relationships/image" Target="media/image4.wmf"/><Relationship Id="rId14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3474</Words>
  <Characters>19808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Решение Совета Евразийской экономической комиссии от 14.09.2018 N 74"О техническом регламенте Евразийского экономического союза "О безопасности газа горючего природного, подготовленного к транспортированию и (или) использованию"(вместе с "ТР ЕАЭС 046/2018</vt:lpstr>
    </vt:vector>
  </TitlesOfParts>
  <Company>КонсультантПлюс Версия 4017.00.95</Company>
  <LinksUpToDate>false</LinksUpToDate>
  <CharactersWithSpaces>23236</CharactersWithSpaces>
  <SharedDoc>false</SharedDoc>
  <HLinks>
    <vt:vector size="240" baseType="variant">
      <vt:variant>
        <vt:i4>6684726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Par542</vt:lpwstr>
      </vt:variant>
      <vt:variant>
        <vt:i4>6750257</vt:i4>
      </vt:variant>
      <vt:variant>
        <vt:i4>114</vt:i4>
      </vt:variant>
      <vt:variant>
        <vt:i4>0</vt:i4>
      </vt:variant>
      <vt:variant>
        <vt:i4>5</vt:i4>
      </vt:variant>
      <vt:variant>
        <vt:lpwstr/>
      </vt:variant>
      <vt:variant>
        <vt:lpwstr>Par533</vt:lpwstr>
      </vt:variant>
      <vt:variant>
        <vt:i4>7077947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Par499</vt:lpwstr>
      </vt:variant>
      <vt:variant>
        <vt:i4>6553659</vt:i4>
      </vt:variant>
      <vt:variant>
        <vt:i4>108</vt:i4>
      </vt:variant>
      <vt:variant>
        <vt:i4>0</vt:i4>
      </vt:variant>
      <vt:variant>
        <vt:i4>5</vt:i4>
      </vt:variant>
      <vt:variant>
        <vt:lpwstr/>
      </vt:variant>
      <vt:variant>
        <vt:lpwstr>Par491</vt:lpwstr>
      </vt:variant>
      <vt:variant>
        <vt:i4>6750262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Par442</vt:lpwstr>
      </vt:variant>
      <vt:variant>
        <vt:i4>6422577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Par437</vt:lpwstr>
      </vt:variant>
      <vt:variant>
        <vt:i4>6750256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Par422</vt:lpwstr>
      </vt:variant>
      <vt:variant>
        <vt:i4>6422579</vt:i4>
      </vt:variant>
      <vt:variant>
        <vt:i4>96</vt:i4>
      </vt:variant>
      <vt:variant>
        <vt:i4>0</vt:i4>
      </vt:variant>
      <vt:variant>
        <vt:i4>5</vt:i4>
      </vt:variant>
      <vt:variant>
        <vt:lpwstr/>
      </vt:variant>
      <vt:variant>
        <vt:lpwstr>Par417</vt:lpwstr>
      </vt:variant>
      <vt:variant>
        <vt:i4>6750258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Par402</vt:lpwstr>
      </vt:variant>
      <vt:variant>
        <vt:i4>6291511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Par352</vt:lpwstr>
      </vt:variant>
      <vt:variant>
        <vt:i4>6291511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Par352</vt:lpwstr>
      </vt:variant>
      <vt:variant>
        <vt:i4>6291511</vt:i4>
      </vt:variant>
      <vt:variant>
        <vt:i4>84</vt:i4>
      </vt:variant>
      <vt:variant>
        <vt:i4>0</vt:i4>
      </vt:variant>
      <vt:variant>
        <vt:i4>5</vt:i4>
      </vt:variant>
      <vt:variant>
        <vt:lpwstr/>
      </vt:variant>
      <vt:variant>
        <vt:lpwstr>Par352</vt:lpwstr>
      </vt:variant>
      <vt:variant>
        <vt:i4>6291510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Par342</vt:lpwstr>
      </vt:variant>
      <vt:variant>
        <vt:i4>6291510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Par342</vt:lpwstr>
      </vt:variant>
      <vt:variant>
        <vt:i4>6619185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6488112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Par321</vt:lpwstr>
      </vt:variant>
      <vt:variant>
        <vt:i4>6946864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6684723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Par314</vt:lpwstr>
      </vt:variant>
      <vt:variant>
        <vt:i4>6488112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Par321</vt:lpwstr>
      </vt:variant>
      <vt:variant>
        <vt:i4>6684723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Par314</vt:lpwstr>
      </vt:variant>
      <vt:variant>
        <vt:i4>6619190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Par347</vt:lpwstr>
      </vt:variant>
      <vt:variant>
        <vt:i4>6357041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Par333</vt:lpwstr>
      </vt:variant>
      <vt:variant>
        <vt:i4>6488112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Par321</vt:lpwstr>
      </vt:variant>
      <vt:variant>
        <vt:i4>6684722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6750256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Par224</vt:lpwstr>
      </vt:variant>
      <vt:variant>
        <vt:i4>6750256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Par224</vt:lpwstr>
      </vt:variant>
      <vt:variant>
        <vt:i4>6291506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Par203</vt:lpwstr>
      </vt:variant>
      <vt:variant>
        <vt:i4>6750256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Par224</vt:lpwstr>
      </vt:variant>
      <vt:variant>
        <vt:i4>6291506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Par203</vt:lpwstr>
      </vt:variant>
      <vt:variant>
        <vt:i4>6422587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Par192</vt:lpwstr>
      </vt:variant>
      <vt:variant>
        <vt:i4>6684726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Par245</vt:lpwstr>
      </vt:variant>
      <vt:variant>
        <vt:i4>6881339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Par199</vt:lpwstr>
      </vt:variant>
      <vt:variant>
        <vt:i4>6750261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Par177</vt:lpwstr>
      </vt:variant>
      <vt:variant>
        <vt:i4>5767170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Par98</vt:lpwstr>
      </vt:variant>
      <vt:variant>
        <vt:i4>6750258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Par107</vt:lpwstr>
      </vt:variant>
      <vt:variant>
        <vt:i4>6684724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Par463</vt:lpwstr>
      </vt:variant>
      <vt:variant>
        <vt:i4>6422587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Par390</vt:lpwstr>
      </vt:variant>
      <vt:variant>
        <vt:i4>6488122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Par280</vt:lpwstr>
      </vt:variant>
      <vt:variant>
        <vt:i4>6488119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Par153</vt:lpwstr>
      </vt:variant>
      <vt:variant>
        <vt:i4>5767170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Par98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Совета Евразийской экономической комиссии от 14.09.2018 N 74"О техническом регламенте Евразийского экономического союза "О безопасности газа горючего природного, подготовленного к транспортированию и (или) использованию"(вместе с "ТР ЕАЭС 046/2018</dc:title>
  <dc:creator> </dc:creator>
  <cp:lastModifiedBy> </cp:lastModifiedBy>
  <cp:revision>2</cp:revision>
  <dcterms:created xsi:type="dcterms:W3CDTF">2018-11-04T18:07:00Z</dcterms:created>
  <dcterms:modified xsi:type="dcterms:W3CDTF">2018-11-04T18:07:00Z</dcterms:modified>
</cp:coreProperties>
</file>